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2F3FE">
      <w:pPr>
        <w:pStyle w:val="43"/>
        <w:keepNext w:val="0"/>
        <w:keepLines w:val="0"/>
        <w:pageBreakBefore w:val="0"/>
        <w:framePr w:h="7486" w:hRule="exact" w:x="1173" w:y="6276"/>
        <w:widowControl w:val="0"/>
        <w:kinsoku/>
        <w:wordWrap/>
        <w:overflowPunct/>
        <w:topLinePunct w:val="0"/>
        <w:autoSpaceDE/>
        <w:autoSpaceDN/>
        <w:bidi w:val="0"/>
        <w:adjustRightInd/>
        <w:snapToGrid/>
        <w:spacing w:before="0" w:line="680" w:lineRule="exact"/>
        <w:textAlignment w:val="center"/>
        <w:rPr>
          <w:rFonts w:hint="eastAsia" w:ascii="Times New Roman" w:eastAsia="黑体"/>
          <w:b w:val="0"/>
          <w:bCs w:val="0"/>
          <w:sz w:val="44"/>
          <w:szCs w:val="44"/>
          <w:highlight w:val="none"/>
        </w:rPr>
      </w:pPr>
      <w:bookmarkStart w:id="0" w:name="_Hlk79158732"/>
      <w:r>
        <w:rPr>
          <w:b w:val="0"/>
          <w:bCs w:val="0"/>
          <w:sz w:val="52"/>
          <w:szCs w:val="52"/>
          <w:highlight w:val="none"/>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579755"/>
                <wp:effectExtent l="0" t="0" r="3810" b="14605"/>
                <wp:wrapNone/>
                <wp:docPr id="9"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579755"/>
                        </a:xfrm>
                        <a:prstGeom prst="rect">
                          <a:avLst/>
                        </a:prstGeom>
                        <a:solidFill>
                          <a:srgbClr val="FFFFFF"/>
                        </a:solidFill>
                        <a:ln>
                          <a:noFill/>
                        </a:ln>
                      </wps:spPr>
                      <wps:txbx>
                        <w:txbxContent>
                          <w:p w14:paraId="17835A1C">
                            <w:pPr>
                              <w:pStyle w:val="46"/>
                              <w:framePr w:w="0" w:hRule="auto" w:hSpace="0" w:wrap="auto" w:vAnchor="margin" w:hAnchor="text" w:xAlign="left" w:yAlign="inline"/>
                              <w:adjustRightInd w:val="0"/>
                              <w:rPr>
                                <w:rFonts w:hint="eastAsia" w:ascii="Times New Roman" w:eastAsia="宋体"/>
                                <w:szCs w:val="20"/>
                              </w:rPr>
                            </w:pPr>
                            <w:r>
                              <w:rPr>
                                <w:rFonts w:hint="eastAsia" w:ascii="Times New Roman" w:eastAsia="宋体"/>
                                <w:szCs w:val="20"/>
                              </w:rPr>
                              <w:t xml:space="preserve">T/CBMF </w:t>
                            </w:r>
                            <w:r>
                              <w:rPr>
                                <w:rFonts w:hint="default" w:ascii="Times New Roman" w:hAnsi="Times New Roman" w:eastAsia="宋体" w:cs="Times New Roman"/>
                                <w:szCs w:val="20"/>
                              </w:rPr>
                              <w:t>××</w:t>
                            </w:r>
                            <w:r>
                              <w:rPr>
                                <w:rFonts w:hint="eastAsia" w:ascii="Times New Roman" w:eastAsia="宋体"/>
                                <w:szCs w:val="20"/>
                              </w:rPr>
                              <w:t>—20</w:t>
                            </w:r>
                            <w:r>
                              <w:rPr>
                                <w:rFonts w:hint="default" w:ascii="Times New Roman" w:hAnsi="Times New Roman" w:eastAsia="宋体" w:cs="Times New Roman"/>
                                <w:szCs w:val="20"/>
                              </w:rPr>
                              <w:t>××</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45.65pt;width:456.9pt;mso-position-horizontal-relative:margin;mso-position-vertical-relative:margin;z-index:251662336;mso-width-relative:page;mso-height-relative:page;" fillcolor="#FFFFFF" filled="t" stroked="f" coordsize="21600,21600" o:gfxdata="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ugE09cAAAAIAQAADwAAAAAAAAAB&#10;ACAAAAAiAAAAZHJzL2Rvd25yZXYueG1sUEsBAhQAFAAAAAgAh07iQJCKSJARAgAAKwQAAA4AAAAA&#10;AAAAAQAgAAAAJgEAAGRycy9lMm9Eb2MueG1sUEsFBgAAAAAGAAYAWQEAAKkFAAAAAA==&#10;">
                <v:fill on="t" focussize="0,0"/>
                <v:stroke on="f"/>
                <v:imagedata o:title=""/>
                <o:lock v:ext="edit" aspectratio="f"/>
                <v:textbox inset="0mm,0mm,0mm,0mm">
                  <w:txbxContent>
                    <w:p w14:paraId="17835A1C">
                      <w:pPr>
                        <w:pStyle w:val="46"/>
                        <w:framePr w:w="0" w:hRule="auto" w:hSpace="0" w:wrap="auto" w:vAnchor="margin" w:hAnchor="text" w:xAlign="left" w:yAlign="inline"/>
                        <w:adjustRightInd w:val="0"/>
                        <w:rPr>
                          <w:rFonts w:hint="eastAsia" w:ascii="Times New Roman" w:eastAsia="宋体"/>
                          <w:szCs w:val="20"/>
                        </w:rPr>
                      </w:pPr>
                      <w:r>
                        <w:rPr>
                          <w:rFonts w:hint="eastAsia" w:ascii="Times New Roman" w:eastAsia="宋体"/>
                          <w:szCs w:val="20"/>
                        </w:rPr>
                        <w:t xml:space="preserve">T/CBMF </w:t>
                      </w:r>
                      <w:r>
                        <w:rPr>
                          <w:rFonts w:hint="default" w:ascii="Times New Roman" w:hAnsi="Times New Roman" w:eastAsia="宋体" w:cs="Times New Roman"/>
                          <w:szCs w:val="20"/>
                        </w:rPr>
                        <w:t>××</w:t>
                      </w:r>
                      <w:r>
                        <w:rPr>
                          <w:rFonts w:hint="eastAsia" w:ascii="Times New Roman" w:eastAsia="宋体"/>
                          <w:szCs w:val="20"/>
                        </w:rPr>
                        <w:t>—20</w:t>
                      </w:r>
                      <w:r>
                        <w:rPr>
                          <w:rFonts w:hint="default" w:ascii="Times New Roman" w:hAnsi="Times New Roman" w:eastAsia="宋体" w:cs="Times New Roman"/>
                          <w:szCs w:val="20"/>
                        </w:rPr>
                        <w:t>××</w:t>
                      </w:r>
                    </w:p>
                  </w:txbxContent>
                </v:textbox>
                <w10:anchorlock/>
              </v:shape>
            </w:pict>
          </mc:Fallback>
        </mc:AlternateContent>
      </w:r>
      <w:r>
        <w:rPr>
          <w:rFonts w:hint="eastAsia" w:ascii="Times New Roman" w:eastAsia="黑体"/>
          <w:b w:val="0"/>
          <w:bCs w:val="0"/>
          <w:sz w:val="52"/>
          <w:szCs w:val="52"/>
          <w:highlight w:val="none"/>
        </w:rPr>
        <w:t>用于水泥和混凝土中的物理改性粉煤灰</w:t>
      </w:r>
    </w:p>
    <w:p w14:paraId="24EFABA4">
      <w:pPr>
        <w:pStyle w:val="43"/>
        <w:framePr w:h="7486" w:hRule="exact" w:x="1173" w:y="6276"/>
        <w:textAlignment w:val="auto"/>
        <w:rPr>
          <w:rFonts w:hint="eastAsia" w:ascii="Times New Roman"/>
          <w:color w:val="000000"/>
          <w:kern w:val="2"/>
          <w:sz w:val="36"/>
          <w:szCs w:val="24"/>
          <w:highlight w:val="none"/>
          <w:lang w:val="en-US" w:eastAsia="zh-CN" w:bidi="ar-SA"/>
        </w:rPr>
      </w:pPr>
      <w:r>
        <w:rPr>
          <w:rFonts w:hint="eastAsia" w:ascii="Times New Roman"/>
          <w:color w:val="000000"/>
          <w:kern w:val="2"/>
          <w:sz w:val="36"/>
          <w:szCs w:val="24"/>
          <w:highlight w:val="none"/>
          <w:lang w:val="en-US" w:eastAsia="zh-CN" w:bidi="ar-SA"/>
        </w:rPr>
        <w:t>Physical-modified fly ash used for cement and concrete</w:t>
      </w:r>
    </w:p>
    <w:p w14:paraId="2660FF25">
      <w:pPr>
        <w:pStyle w:val="43"/>
        <w:framePr w:h="7486" w:hRule="exact" w:x="1173" w:y="6276"/>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lang w:val="en-US" w:eastAsia="zh-CN"/>
        </w:rPr>
        <w:t>征求意见</w:t>
      </w:r>
      <w:r>
        <w:rPr>
          <w:rFonts w:hint="eastAsia" w:asciiTheme="minorEastAsia" w:hAnsiTheme="minorEastAsia" w:eastAsiaTheme="minorEastAsia" w:cstheme="minorEastAsia"/>
          <w:bCs/>
          <w:sz w:val="24"/>
          <w:szCs w:val="24"/>
          <w:highlight w:val="none"/>
        </w:rPr>
        <w:t>稿）</w:t>
      </w:r>
    </w:p>
    <w:p w14:paraId="08F34066">
      <w:pPr>
        <w:autoSpaceDE w:val="0"/>
        <w:autoSpaceDN w:val="0"/>
        <w:adjustRightInd w:val="0"/>
        <w:snapToGrid w:val="0"/>
        <w:ind w:right="126" w:rightChars="60"/>
        <w:jc w:val="left"/>
        <w:rPr>
          <w:rFonts w:eastAsia="黑体"/>
          <w:b/>
          <w:kern w:val="0"/>
          <w:szCs w:val="21"/>
          <w:highlight w:val="none"/>
        </w:rPr>
      </w:pPr>
      <w:r>
        <w:rPr>
          <w:highlight w:val="none"/>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0</wp:posOffset>
                </wp:positionV>
                <wp:extent cx="2540000" cy="657860"/>
                <wp:effectExtent l="0" t="0" r="5080" b="1270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F43EED2">
                            <w:pPr>
                              <w:pStyle w:val="61"/>
                            </w:pPr>
                            <w:r>
                              <w:t xml:space="preserve">ICS </w:t>
                            </w:r>
                            <w:r>
                              <w:rPr>
                                <w:rFonts w:hint="eastAsia"/>
                              </w:rPr>
                              <w:t>91.100.1</w:t>
                            </w:r>
                            <w:r>
                              <w:t>0</w:t>
                            </w:r>
                          </w:p>
                          <w:p w14:paraId="2C2DBED7">
                            <w:pPr>
                              <w:pStyle w:val="61"/>
                            </w:pPr>
                            <w:r>
                              <w:t xml:space="preserve">CCS </w:t>
                            </w:r>
                            <w:r>
                              <w:rPr>
                                <w:rFonts w:hint="eastAsia"/>
                              </w:rPr>
                              <w:t>Q11</w:t>
                            </w:r>
                          </w:p>
                          <w:p w14:paraId="71FEFBB2">
                            <w:pPr>
                              <w:pStyle w:val="61"/>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61312;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Fdk8hUPAgAAKwQAAA4AAAAAAAAAAQAg&#10;AAAAIgEAAGRycy9lMm9Eb2MueG1sUEsFBgAAAAAGAAYAWQEAAKMFAAAAAA==&#10;">
                <v:fill on="t" focussize="0,0"/>
                <v:stroke on="f"/>
                <v:imagedata o:title=""/>
                <o:lock v:ext="edit" aspectratio="f"/>
                <v:textbox inset="0mm,0mm,0mm,0mm">
                  <w:txbxContent>
                    <w:p w14:paraId="3F43EED2">
                      <w:pPr>
                        <w:pStyle w:val="61"/>
                      </w:pPr>
                      <w:r>
                        <w:t xml:space="preserve">ICS </w:t>
                      </w:r>
                      <w:r>
                        <w:rPr>
                          <w:rFonts w:hint="eastAsia"/>
                        </w:rPr>
                        <w:t>91.100.1</w:t>
                      </w:r>
                      <w:r>
                        <w:t>0</w:t>
                      </w:r>
                    </w:p>
                    <w:p w14:paraId="2C2DBED7">
                      <w:pPr>
                        <w:pStyle w:val="61"/>
                      </w:pPr>
                      <w:r>
                        <w:t xml:space="preserve">CCS </w:t>
                      </w:r>
                      <w:r>
                        <w:rPr>
                          <w:rFonts w:hint="eastAsia"/>
                        </w:rPr>
                        <w:t>Q11</w:t>
                      </w:r>
                    </w:p>
                    <w:p w14:paraId="71FEFBB2">
                      <w:pPr>
                        <w:pStyle w:val="61"/>
                      </w:pPr>
                    </w:p>
                  </w:txbxContent>
                </v:textbox>
                <w10:anchorlock/>
              </v:shape>
            </w:pict>
          </mc:Fallback>
        </mc:AlternateContent>
      </w:r>
      <w:r>
        <w:rPr>
          <w:highlight w:val="none"/>
        </w:rP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107315</wp:posOffset>
                </wp:positionV>
                <wp:extent cx="3175000" cy="720090"/>
                <wp:effectExtent l="0" t="0" r="10160" b="11430"/>
                <wp:wrapNone/>
                <wp:docPr id="3"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3B9F1511">
                            <w:pPr>
                              <w:pStyle w:val="60"/>
                            </w:pPr>
                            <w:r>
                              <w:rPr>
                                <w:rFonts w:hint="eastAsia"/>
                              </w:rPr>
                              <w:t>CBMF</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0288;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WTs82AAAAAoBAAAPAAAAAAAAAAEA&#10;IAAAACIAAABkcnMvZG93bnJldi54bWxQSwECFAAUAAAACACHTuJAVQLehA8CAAArBAAADgAAAAAA&#10;AAABACAAAAAnAQAAZHJzL2Uyb0RvYy54bWxQSwUGAAAAAAYABgBZAQAAqAUAAAAA&#10;">
                <v:fill on="t" focussize="0,0"/>
                <v:stroke on="f"/>
                <v:imagedata o:title=""/>
                <o:lock v:ext="edit" aspectratio="f"/>
                <v:textbox inset="0mm,0mm,0mm,0mm">
                  <w:txbxContent>
                    <w:p w14:paraId="3B9F1511">
                      <w:pPr>
                        <w:pStyle w:val="60"/>
                      </w:pPr>
                      <w:r>
                        <w:rPr>
                          <w:rFonts w:hint="eastAsia"/>
                        </w:rPr>
                        <w:t>CBMF</w:t>
                      </w:r>
                    </w:p>
                  </w:txbxContent>
                </v:textbox>
                <w10:anchorlock/>
              </v:shape>
            </w:pict>
          </mc:Fallback>
        </mc:AlternateContent>
      </w:r>
    </w:p>
    <w:p w14:paraId="17AEB262">
      <w:pPr>
        <w:pStyle w:val="40"/>
        <w:adjustRightInd w:val="0"/>
        <w:snapToGrid w:val="0"/>
        <w:ind w:firstLine="0" w:firstLineChars="0"/>
        <w:rPr>
          <w:rFonts w:hint="eastAsia" w:ascii="黑体" w:hAnsi="黑体" w:eastAsia="黑体"/>
          <w:szCs w:val="21"/>
          <w:highlight w:val="none"/>
          <w:lang w:eastAsia="zh-CN"/>
        </w:rPr>
      </w:pPr>
    </w:p>
    <w:p w14:paraId="65BD0F1E">
      <w:pPr>
        <w:pStyle w:val="40"/>
        <w:ind w:firstLine="0" w:firstLineChars="0"/>
        <w:rPr>
          <w:rFonts w:ascii="Times New Roman"/>
          <w:highlight w:val="none"/>
        </w:rPr>
      </w:pPr>
    </w:p>
    <w:p w14:paraId="000C7FFB">
      <w:pPr>
        <w:rPr>
          <w:rFonts w:hint="eastAsia"/>
          <w:highlight w:val="none"/>
        </w:rPr>
      </w:pPr>
      <w:bookmarkStart w:id="56" w:name="_GoBack"/>
      <w:bookmarkEnd w:id="56"/>
      <w:r>
        <w:rPr>
          <w:highlight w:val="none"/>
        </w:rPr>
        <mc:AlternateContent>
          <mc:Choice Requires="wps">
            <w:drawing>
              <wp:anchor distT="0" distB="0" distL="114300" distR="114300" simplePos="0" relativeHeight="251659264" behindDoc="0" locked="1" layoutInCell="1" allowOverlap="1">
                <wp:simplePos x="0" y="0"/>
                <wp:positionH relativeFrom="margin">
                  <wp:posOffset>-180340</wp:posOffset>
                </wp:positionH>
                <wp:positionV relativeFrom="margin">
                  <wp:posOffset>1010920</wp:posOffset>
                </wp:positionV>
                <wp:extent cx="6120130" cy="391160"/>
                <wp:effectExtent l="0" t="0" r="6350" b="5080"/>
                <wp:wrapNone/>
                <wp:docPr id="2"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89284B4">
                            <w:pPr>
                              <w:pStyle w:val="48"/>
                              <w:rPr>
                                <w:rFonts w:hint="eastAsia"/>
                                <w:sz w:val="52"/>
                                <w:szCs w:val="52"/>
                              </w:rPr>
                            </w:pPr>
                            <w:r>
                              <w:rPr>
                                <w:rFonts w:hint="eastAsia"/>
                                <w:sz w:val="52"/>
                                <w:szCs w:val="52"/>
                              </w:rPr>
                              <w:t>中国建筑材料协会标准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14.2pt;margin-top:79.6pt;height:30.8pt;width:481.9pt;mso-position-horizontal-relative:margin;mso-position-vertical-relative:margin;z-index:251659264;mso-width-relative:page;mso-height-relative:page;" fillcolor="#FFFFFF" filled="t" stroked="f" coordsize="21600,21600" o:gfxdata="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NkJptoAAAALAQAADwAAAAAAAAAB&#10;ACAAAAAiAAAAZHJzL2Rvd25yZXYueG1sUEsBAhQAFAAAAAgAh07iQM9mLqgOAgAAKwQAAA4AAAAA&#10;AAAAAQAgAAAAKQEAAGRycy9lMm9Eb2MueG1sUEsFBgAAAAAGAAYAWQEAAKkFAAAAAA==&#10;">
                <v:fill on="t" focussize="0,0"/>
                <v:stroke on="f"/>
                <v:imagedata o:title=""/>
                <o:lock v:ext="edit" aspectratio="f"/>
                <v:textbox inset="0mm,0mm,0mm,0mm">
                  <w:txbxContent>
                    <w:p w14:paraId="089284B4">
                      <w:pPr>
                        <w:pStyle w:val="48"/>
                        <w:rPr>
                          <w:rFonts w:hint="eastAsia"/>
                          <w:sz w:val="52"/>
                          <w:szCs w:val="52"/>
                        </w:rPr>
                      </w:pPr>
                      <w:r>
                        <w:rPr>
                          <w:rFonts w:hint="eastAsia"/>
                          <w:sz w:val="52"/>
                          <w:szCs w:val="52"/>
                        </w:rPr>
                        <w:t>中国建筑材料协会标准</w:t>
                      </w:r>
                    </w:p>
                  </w:txbxContent>
                </v:textbox>
                <w10:anchorlock/>
              </v:shape>
            </w:pict>
          </mc:Fallback>
        </mc:AlternateContent>
      </w:r>
    </w:p>
    <w:p w14:paraId="4D7A9204">
      <w:pPr>
        <w:rPr>
          <w:highlight w:val="none"/>
        </w:rPr>
      </w:pPr>
    </w:p>
    <w:p w14:paraId="007A83AC">
      <w:pPr>
        <w:pStyle w:val="40"/>
        <w:ind w:firstLine="0" w:firstLineChars="0"/>
        <w:rPr>
          <w:rFonts w:hint="eastAsia" w:ascii="Times New Roman"/>
          <w:highlight w:val="none"/>
        </w:rPr>
      </w:pPr>
    </w:p>
    <w:p w14:paraId="1B48A1B2">
      <w:pPr>
        <w:pStyle w:val="40"/>
        <w:ind w:firstLine="0" w:firstLineChars="0"/>
        <w:rPr>
          <w:rFonts w:hint="eastAsia" w:ascii="Times New Roman"/>
          <w:highlight w:val="none"/>
        </w:rPr>
      </w:pPr>
    </w:p>
    <w:p w14:paraId="0A60371D">
      <w:pPr>
        <w:pStyle w:val="40"/>
        <w:ind w:firstLine="0" w:firstLineChars="0"/>
        <w:rPr>
          <w:rFonts w:hint="eastAsia" w:ascii="Times New Roman"/>
          <w:highlight w:val="none"/>
        </w:rPr>
      </w:pPr>
    </w:p>
    <w:p w14:paraId="316BAAD8">
      <w:pPr>
        <w:pStyle w:val="40"/>
        <w:ind w:firstLine="0" w:firstLineChars="0"/>
        <w:rPr>
          <w:rFonts w:hint="eastAsia" w:ascii="Times New Roman"/>
          <w:highlight w:val="none"/>
        </w:rPr>
      </w:pPr>
    </w:p>
    <w:p w14:paraId="69F7DCBF">
      <w:pPr>
        <w:pStyle w:val="40"/>
        <w:ind w:firstLine="0" w:firstLineChars="0"/>
        <w:rPr>
          <w:rFonts w:hint="eastAsia" w:ascii="Times New Roman"/>
          <w:highlight w:val="none"/>
        </w:rPr>
      </w:pPr>
    </w:p>
    <w:p w14:paraId="008556B9">
      <w:pPr>
        <w:pStyle w:val="40"/>
        <w:ind w:firstLine="0" w:firstLineChars="0"/>
        <w:rPr>
          <w:rFonts w:hint="eastAsia" w:ascii="Times New Roman"/>
          <w:highlight w:val="none"/>
        </w:rPr>
      </w:pPr>
      <w:r>
        <w:rPr>
          <w:highlight w:val="none"/>
        </w:rPr>
        <mc:AlternateContent>
          <mc:Choice Requires="wps">
            <w:drawing>
              <wp:anchor distT="0" distB="0" distL="114300" distR="114300" simplePos="0" relativeHeight="251664384" behindDoc="0" locked="0" layoutInCell="1" allowOverlap="1">
                <wp:simplePos x="0" y="0"/>
                <wp:positionH relativeFrom="column">
                  <wp:posOffset>-187325</wp:posOffset>
                </wp:positionH>
                <wp:positionV relativeFrom="paragraph">
                  <wp:posOffset>151765</wp:posOffset>
                </wp:positionV>
                <wp:extent cx="6134100" cy="0"/>
                <wp:effectExtent l="0" t="6350" r="0" b="6350"/>
                <wp:wrapNone/>
                <wp:docPr id="17" name="Line 2"/>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14.75pt;margin-top:11.95pt;height:0pt;width:483pt;z-index:251664384;mso-width-relative:page;mso-height-relative:page;" filled="f" stroked="t" coordsize="21600,21600" o:gfxdata="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iJLFR2AAAAAkBAAAPAAAAAAAAAAEAIAAAACIAAABkcnMvZG93&#10;bnJldi54bWxQSwECFAAUAAAACACHTuJAEHCfPscBAAChAwAADgAAAAAAAAABACAAAAAnAQAAZHJz&#10;L2Uyb0RvYy54bWxQSwUGAAAAAAYABgBZAQAAYAUAAAAA&#10;">
                <v:fill on="f" focussize="0,0"/>
                <v:stroke weight="1pt" color="#000000" joinstyle="round"/>
                <v:imagedata o:title=""/>
                <o:lock v:ext="edit" aspectratio="f"/>
              </v:line>
            </w:pict>
          </mc:Fallback>
        </mc:AlternateContent>
      </w:r>
    </w:p>
    <w:p w14:paraId="44AA6D00">
      <w:pPr>
        <w:pStyle w:val="40"/>
        <w:ind w:firstLine="0" w:firstLineChars="0"/>
        <w:rPr>
          <w:rFonts w:hint="eastAsia" w:ascii="Times New Roman"/>
          <w:highlight w:val="none"/>
        </w:rPr>
      </w:pPr>
    </w:p>
    <w:p w14:paraId="4939C31D">
      <w:pPr>
        <w:pStyle w:val="40"/>
        <w:ind w:firstLine="0" w:firstLineChars="0"/>
        <w:rPr>
          <w:rFonts w:hint="eastAsia" w:ascii="Times New Roman"/>
          <w:highlight w:val="none"/>
        </w:rPr>
        <w:sectPr>
          <w:headerReference r:id="rId5" w:type="first"/>
          <w:headerReference r:id="rId3" w:type="default"/>
          <w:headerReference r:id="rId4" w:type="even"/>
          <w:footerReference r:id="rId6" w:type="even"/>
          <w:pgSz w:w="11906" w:h="16838"/>
          <w:pgMar w:top="567" w:right="850" w:bottom="1134" w:left="1418" w:header="0" w:footer="0" w:gutter="0"/>
          <w:pgNumType w:start="1"/>
          <w:cols w:space="720" w:num="1"/>
          <w:titlePg/>
          <w:docGrid w:type="lines" w:linePitch="312" w:charSpace="0"/>
        </w:sectPr>
      </w:pPr>
      <w:r>
        <w:rPr>
          <w:highlight w:val="none"/>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7620" b="7620"/>
                <wp:wrapNone/>
                <wp:docPr id="12"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13FBD8D">
                            <w:pPr>
                              <w:pStyle w:val="62"/>
                            </w:pPr>
                            <w:r>
                              <w:rPr>
                                <w:rFonts w:hint="eastAsia"/>
                              </w:rPr>
                              <w:t>20××-××-××发布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fNsqI2AAAAAoBAAAPAAAAAAAAAAEA&#10;IAAAACIAAABkcnMvZG93bnJldi54bWxQSwECFAAUAAAACACHTuJALkrt+A8CAAAsBAAADgAAAAAA&#10;AAABACAAAAAnAQAAZHJzL2Uyb0RvYy54bWxQSwUGAAAAAAYABgBZAQAAqAUAAAAA&#10;">
                <v:fill on="t" focussize="0,0"/>
                <v:stroke on="f"/>
                <v:imagedata o:title=""/>
                <o:lock v:ext="edit" aspectratio="f"/>
                <v:textbox inset="0mm,0mm,0mm,0mm">
                  <w:txbxContent>
                    <w:p w14:paraId="113FBD8D">
                      <w:pPr>
                        <w:pStyle w:val="62"/>
                      </w:pPr>
                      <w:r>
                        <w:rPr>
                          <w:rFonts w:hint="eastAsia"/>
                        </w:rPr>
                        <w:t>20××-××-××发布</w:t>
                      </w:r>
                    </w:p>
                  </w:txbxContent>
                </v:textbox>
                <w10:anchorlock/>
              </v:shape>
            </w:pict>
          </mc:Fallback>
        </mc:AlternateContent>
      </w:r>
      <w:r>
        <w:rPr>
          <w:highlight w:val="none"/>
        </w:rP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7620" b="7620"/>
                <wp:wrapNone/>
                <wp:docPr id="6"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701734A">
                            <w:pPr>
                              <w:pStyle w:val="63"/>
                            </w:pPr>
                            <w:r>
                              <w:rPr>
                                <w:rFonts w:hint="eastAsia"/>
                              </w:rPr>
                              <w:t>20××-××-××实施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COpL0VDgIAACs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v2q19oAAAANAQAADwAAAAAAAAAB&#10;ACAAAAAiAAAAZHJzL2Rvd25yZXYueG1sUEsBAhQAFAAAAAgAh07iQI6kvRUOAgAAKwQAAA4AAAAA&#10;AAAAAQAgAAAAKQEAAGRycy9lMm9Eb2MueG1sUEsFBgAAAAAGAAYAWQEAAKkFAAAAAA==&#10;">
                <v:fill on="t" focussize="0,0"/>
                <v:stroke on="f"/>
                <v:imagedata o:title=""/>
                <o:lock v:ext="edit" aspectratio="f"/>
                <v:textbox inset="0mm,0mm,0mm,0mm">
                  <w:txbxContent>
                    <w:p w14:paraId="3701734A">
                      <w:pPr>
                        <w:pStyle w:val="63"/>
                      </w:pPr>
                      <w:r>
                        <w:rPr>
                          <w:rFonts w:hint="eastAsia"/>
                        </w:rPr>
                        <w:t>20××-××-××实施</w:t>
                      </w:r>
                    </w:p>
                  </w:txbxContent>
                </v:textbox>
                <w10:anchorlock/>
              </v:shape>
            </w:pict>
          </mc:Fallback>
        </mc:AlternateContent>
      </w:r>
      <w:r>
        <w:rPr>
          <w:highlight w:val="none"/>
        </w:rP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363220"/>
                <wp:effectExtent l="0" t="0" r="6350" b="2540"/>
                <wp:wrapNone/>
                <wp:docPr id="7"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23CAD1CE">
                            <w:pPr>
                              <w:pStyle w:val="41"/>
                            </w:pPr>
                            <w:r>
                              <w:rPr>
                                <w:rFonts w:hint="eastAsia"/>
                                <w:b w:val="0"/>
                                <w:bCs/>
                                <w:sz w:val="36"/>
                                <w:szCs w:val="36"/>
                              </w:rPr>
                              <w:t>中国建筑材料联合会</w:t>
                            </w:r>
                            <w:r>
                              <w:rPr>
                                <w:rStyle w:val="64"/>
                                <w:rFonts w:hint="eastAsia"/>
                              </w:rPr>
                              <w:t xml:space="preserve"> </w:t>
                            </w:r>
                            <w:r>
                              <w:rPr>
                                <w:rStyle w:val="64"/>
                                <w:rFonts w:hint="eastAsia"/>
                                <w:b w:val="0"/>
                                <w:kern w:val="0"/>
                                <w:szCs w:val="20"/>
                              </w:rPr>
                              <w:t>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5408;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lWBuvYAAAACgEAAA8AAAAAAAAAAQAg&#10;AAAAIgAAAGRycy9kb3ducmV2LnhtbFBLAQIUABQAAAAIAIdO4kB1tRLxDgIAACsEAAAOAAAAAAAA&#10;AAEAIAAAACcBAABkcnMvZTJvRG9jLnhtbFBLBQYAAAAABgAGAFkBAACnBQAAAAA=&#10;">
                <v:fill on="t" focussize="0,0"/>
                <v:stroke on="f"/>
                <v:imagedata o:title=""/>
                <o:lock v:ext="edit" aspectratio="f"/>
                <v:textbox inset="0mm,0mm,0mm,0mm">
                  <w:txbxContent>
                    <w:p w14:paraId="23CAD1CE">
                      <w:pPr>
                        <w:pStyle w:val="41"/>
                      </w:pPr>
                      <w:r>
                        <w:rPr>
                          <w:rFonts w:hint="eastAsia"/>
                          <w:b w:val="0"/>
                          <w:bCs/>
                          <w:sz w:val="36"/>
                          <w:szCs w:val="36"/>
                        </w:rPr>
                        <w:t>中国建筑材料联合会</w:t>
                      </w:r>
                      <w:r>
                        <w:rPr>
                          <w:rStyle w:val="64"/>
                          <w:rFonts w:hint="eastAsia"/>
                        </w:rPr>
                        <w:t xml:space="preserve"> </w:t>
                      </w:r>
                      <w:r>
                        <w:rPr>
                          <w:rStyle w:val="64"/>
                          <w:rFonts w:hint="eastAsia"/>
                          <w:b w:val="0"/>
                          <w:kern w:val="0"/>
                          <w:szCs w:val="20"/>
                        </w:rPr>
                        <w:t>发布</w:t>
                      </w:r>
                    </w:p>
                  </w:txbxContent>
                </v:textbox>
                <w10:anchorlock/>
              </v:shape>
            </w:pict>
          </mc:Fallback>
        </mc:AlternateContent>
      </w:r>
    </w:p>
    <w:bookmarkEnd w:id="0"/>
    <w:p w14:paraId="4A458CD2">
      <w:pPr>
        <w:pStyle w:val="45"/>
        <w:jc w:val="center"/>
        <w:rPr>
          <w:rFonts w:hint="eastAsia" w:ascii="黑体" w:hAnsi="黑体" w:eastAsia="黑体"/>
          <w:color w:val="auto"/>
          <w:highlight w:val="none"/>
          <w:lang w:val="zh-CN" w:eastAsia="zh-CN"/>
        </w:rPr>
      </w:pPr>
      <w:r>
        <w:rPr>
          <w:rFonts w:ascii="黑体" w:hAnsi="黑体" w:eastAsia="黑体"/>
          <w:color w:val="auto"/>
          <w:highlight w:val="none"/>
          <w:lang w:val="zh-CN"/>
        </w:rPr>
        <w:t>目</w:t>
      </w:r>
      <w:r>
        <w:rPr>
          <w:rFonts w:hint="eastAsia" w:ascii="黑体" w:hAnsi="黑体" w:eastAsia="黑体"/>
          <w:color w:val="auto"/>
          <w:highlight w:val="none"/>
          <w:lang w:val="zh-CN"/>
        </w:rPr>
        <w:t xml:space="preserve"> </w:t>
      </w:r>
      <w:r>
        <w:rPr>
          <w:rFonts w:ascii="黑体" w:hAnsi="黑体" w:eastAsia="黑体"/>
          <w:color w:val="auto"/>
          <w:highlight w:val="none"/>
          <w:lang w:val="zh-CN"/>
        </w:rPr>
        <w:t xml:space="preserve">   </w:t>
      </w:r>
      <w:r>
        <w:rPr>
          <w:rFonts w:hint="eastAsia" w:ascii="黑体" w:hAnsi="黑体" w:eastAsia="黑体"/>
          <w:color w:val="auto"/>
          <w:highlight w:val="none"/>
          <w:lang w:val="en-US" w:eastAsia="zh-CN"/>
        </w:rPr>
        <w:t>录</w:t>
      </w:r>
    </w:p>
    <w:p w14:paraId="46429226">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TOC \o "1-1" \h \u </w:instrText>
      </w:r>
      <w:r>
        <w:rPr>
          <w:rFonts w:hint="eastAsia"/>
          <w:sz w:val="21"/>
          <w:szCs w:val="21"/>
          <w:highlight w:val="none"/>
          <w:lang w:val="zh-CN"/>
        </w:rPr>
        <w:fldChar w:fldCharType="separate"/>
      </w:r>
      <w:r>
        <w:rPr>
          <w:rFonts w:hint="eastAsia"/>
          <w:sz w:val="21"/>
          <w:szCs w:val="21"/>
          <w:highlight w:val="none"/>
          <w:lang w:val="zh-CN"/>
        </w:rPr>
        <w:fldChar w:fldCharType="begin"/>
      </w:r>
      <w:r>
        <w:rPr>
          <w:rFonts w:hint="eastAsia"/>
          <w:sz w:val="21"/>
          <w:szCs w:val="21"/>
          <w:highlight w:val="none"/>
          <w:lang w:val="zh-CN"/>
        </w:rPr>
        <w:instrText xml:space="preserve"> HYPERLINK \l _Toc21537 </w:instrText>
      </w:r>
      <w:r>
        <w:rPr>
          <w:rFonts w:hint="eastAsia"/>
          <w:sz w:val="21"/>
          <w:szCs w:val="21"/>
          <w:highlight w:val="none"/>
          <w:lang w:val="zh-CN"/>
        </w:rPr>
        <w:fldChar w:fldCharType="separate"/>
      </w:r>
      <w:r>
        <w:rPr>
          <w:rFonts w:hint="eastAsia" w:eastAsia="黑体"/>
          <w:sz w:val="21"/>
          <w:szCs w:val="21"/>
          <w:highlight w:val="none"/>
        </w:rPr>
        <w:t>前</w:t>
      </w:r>
      <w:r>
        <w:rPr>
          <w:rFonts w:eastAsia="黑体"/>
          <w:sz w:val="21"/>
          <w:szCs w:val="21"/>
          <w:highlight w:val="none"/>
        </w:rPr>
        <w:t xml:space="preserve">    </w:t>
      </w:r>
      <w:r>
        <w:rPr>
          <w:rFonts w:hint="eastAsia" w:eastAsia="黑体"/>
          <w:sz w:val="21"/>
          <w:szCs w:val="21"/>
          <w:highlight w:val="none"/>
        </w:rPr>
        <w:t>言</w:t>
      </w:r>
      <w:r>
        <w:rPr>
          <w:sz w:val="21"/>
          <w:szCs w:val="21"/>
          <w:highlight w:val="none"/>
        </w:rPr>
        <w:tab/>
      </w:r>
      <w:r>
        <w:rPr>
          <w:sz w:val="21"/>
          <w:szCs w:val="21"/>
          <w:highlight w:val="none"/>
        </w:rPr>
        <w:fldChar w:fldCharType="begin"/>
      </w:r>
      <w:r>
        <w:rPr>
          <w:sz w:val="21"/>
          <w:szCs w:val="21"/>
          <w:highlight w:val="none"/>
        </w:rPr>
        <w:instrText xml:space="preserve"> PAGEREF _Toc21537 \h </w:instrText>
      </w:r>
      <w:r>
        <w:rPr>
          <w:sz w:val="21"/>
          <w:szCs w:val="21"/>
          <w:highlight w:val="none"/>
        </w:rPr>
        <w:fldChar w:fldCharType="separate"/>
      </w:r>
      <w:r>
        <w:rPr>
          <w:sz w:val="21"/>
          <w:szCs w:val="21"/>
          <w:highlight w:val="none"/>
        </w:rPr>
        <w:t>II</w:t>
      </w:r>
      <w:r>
        <w:rPr>
          <w:sz w:val="21"/>
          <w:szCs w:val="21"/>
          <w:highlight w:val="none"/>
        </w:rPr>
        <w:fldChar w:fldCharType="end"/>
      </w:r>
      <w:r>
        <w:rPr>
          <w:rFonts w:hint="eastAsia"/>
          <w:sz w:val="21"/>
          <w:szCs w:val="21"/>
          <w:highlight w:val="none"/>
          <w:lang w:val="zh-CN"/>
        </w:rPr>
        <w:fldChar w:fldCharType="end"/>
      </w:r>
    </w:p>
    <w:p w14:paraId="38A04632">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_Toc22756 </w:instrText>
      </w:r>
      <w:r>
        <w:rPr>
          <w:rFonts w:hint="eastAsia"/>
          <w:sz w:val="21"/>
          <w:szCs w:val="21"/>
          <w:highlight w:val="none"/>
          <w:lang w:val="zh-CN"/>
        </w:rPr>
        <w:fldChar w:fldCharType="separate"/>
      </w:r>
      <w:r>
        <w:rPr>
          <w:rFonts w:hint="eastAsia" w:ascii="黑体" w:hAnsi="黑体" w:eastAsia="黑体" w:cs="Times New Roman"/>
          <w:sz w:val="21"/>
          <w:szCs w:val="21"/>
          <w:highlight w:val="none"/>
        </w:rPr>
        <w:t>1 范围</w:t>
      </w:r>
      <w:r>
        <w:rPr>
          <w:sz w:val="21"/>
          <w:szCs w:val="21"/>
          <w:highlight w:val="none"/>
        </w:rPr>
        <w:tab/>
      </w:r>
      <w:r>
        <w:rPr>
          <w:sz w:val="21"/>
          <w:szCs w:val="21"/>
          <w:highlight w:val="none"/>
        </w:rPr>
        <w:fldChar w:fldCharType="begin"/>
      </w:r>
      <w:r>
        <w:rPr>
          <w:sz w:val="21"/>
          <w:szCs w:val="21"/>
          <w:highlight w:val="none"/>
        </w:rPr>
        <w:instrText xml:space="preserve"> PAGEREF _Toc22756 \h </w:instrText>
      </w:r>
      <w:r>
        <w:rPr>
          <w:sz w:val="21"/>
          <w:szCs w:val="21"/>
          <w:highlight w:val="none"/>
        </w:rPr>
        <w:fldChar w:fldCharType="separate"/>
      </w:r>
      <w:r>
        <w:rPr>
          <w:sz w:val="21"/>
          <w:szCs w:val="21"/>
          <w:highlight w:val="none"/>
        </w:rPr>
        <w:t>1</w:t>
      </w:r>
      <w:r>
        <w:rPr>
          <w:sz w:val="21"/>
          <w:szCs w:val="21"/>
          <w:highlight w:val="none"/>
        </w:rPr>
        <w:fldChar w:fldCharType="end"/>
      </w:r>
      <w:r>
        <w:rPr>
          <w:rFonts w:hint="eastAsia"/>
          <w:sz w:val="21"/>
          <w:szCs w:val="21"/>
          <w:highlight w:val="none"/>
          <w:lang w:val="zh-CN"/>
        </w:rPr>
        <w:fldChar w:fldCharType="end"/>
      </w:r>
    </w:p>
    <w:p w14:paraId="5935230E">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_Toc26012 </w:instrText>
      </w:r>
      <w:r>
        <w:rPr>
          <w:rFonts w:hint="eastAsia"/>
          <w:sz w:val="21"/>
          <w:szCs w:val="21"/>
          <w:highlight w:val="none"/>
          <w:lang w:val="zh-CN"/>
        </w:rPr>
        <w:fldChar w:fldCharType="separate"/>
      </w:r>
      <w:r>
        <w:rPr>
          <w:rFonts w:hint="eastAsia" w:ascii="黑体" w:hAnsi="黑体" w:eastAsia="黑体" w:cs="Times New Roman"/>
          <w:sz w:val="21"/>
          <w:szCs w:val="21"/>
          <w:highlight w:val="none"/>
        </w:rPr>
        <w:t>2 规范性引用文件</w:t>
      </w:r>
      <w:r>
        <w:rPr>
          <w:sz w:val="21"/>
          <w:szCs w:val="21"/>
          <w:highlight w:val="none"/>
        </w:rPr>
        <w:tab/>
      </w:r>
      <w:r>
        <w:rPr>
          <w:sz w:val="21"/>
          <w:szCs w:val="21"/>
          <w:highlight w:val="none"/>
        </w:rPr>
        <w:fldChar w:fldCharType="begin"/>
      </w:r>
      <w:r>
        <w:rPr>
          <w:sz w:val="21"/>
          <w:szCs w:val="21"/>
          <w:highlight w:val="none"/>
        </w:rPr>
        <w:instrText xml:space="preserve"> PAGEREF _Toc26012 \h </w:instrText>
      </w:r>
      <w:r>
        <w:rPr>
          <w:sz w:val="21"/>
          <w:szCs w:val="21"/>
          <w:highlight w:val="none"/>
        </w:rPr>
        <w:fldChar w:fldCharType="separate"/>
      </w:r>
      <w:r>
        <w:rPr>
          <w:sz w:val="21"/>
          <w:szCs w:val="21"/>
          <w:highlight w:val="none"/>
        </w:rPr>
        <w:t>1</w:t>
      </w:r>
      <w:r>
        <w:rPr>
          <w:sz w:val="21"/>
          <w:szCs w:val="21"/>
          <w:highlight w:val="none"/>
        </w:rPr>
        <w:fldChar w:fldCharType="end"/>
      </w:r>
      <w:r>
        <w:rPr>
          <w:rFonts w:hint="eastAsia"/>
          <w:sz w:val="21"/>
          <w:szCs w:val="21"/>
          <w:highlight w:val="none"/>
          <w:lang w:val="zh-CN"/>
        </w:rPr>
        <w:fldChar w:fldCharType="end"/>
      </w:r>
    </w:p>
    <w:p w14:paraId="279AC697">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_Toc21602 </w:instrText>
      </w:r>
      <w:r>
        <w:rPr>
          <w:rFonts w:hint="eastAsia"/>
          <w:sz w:val="21"/>
          <w:szCs w:val="21"/>
          <w:highlight w:val="none"/>
          <w:lang w:val="zh-CN"/>
        </w:rPr>
        <w:fldChar w:fldCharType="separate"/>
      </w:r>
      <w:r>
        <w:rPr>
          <w:rFonts w:ascii="黑体" w:hAnsi="黑体" w:eastAsia="黑体"/>
          <w:sz w:val="21"/>
          <w:szCs w:val="21"/>
          <w:highlight w:val="none"/>
        </w:rPr>
        <w:t>3 术语和定义</w:t>
      </w:r>
      <w:r>
        <w:rPr>
          <w:sz w:val="21"/>
          <w:szCs w:val="21"/>
          <w:highlight w:val="none"/>
        </w:rPr>
        <w:tab/>
      </w:r>
      <w:r>
        <w:rPr>
          <w:sz w:val="21"/>
          <w:szCs w:val="21"/>
          <w:highlight w:val="none"/>
        </w:rPr>
        <w:fldChar w:fldCharType="begin"/>
      </w:r>
      <w:r>
        <w:rPr>
          <w:sz w:val="21"/>
          <w:szCs w:val="21"/>
          <w:highlight w:val="none"/>
        </w:rPr>
        <w:instrText xml:space="preserve"> PAGEREF _Toc21602 \h </w:instrText>
      </w:r>
      <w:r>
        <w:rPr>
          <w:sz w:val="21"/>
          <w:szCs w:val="21"/>
          <w:highlight w:val="none"/>
        </w:rPr>
        <w:fldChar w:fldCharType="separate"/>
      </w:r>
      <w:r>
        <w:rPr>
          <w:sz w:val="21"/>
          <w:szCs w:val="21"/>
          <w:highlight w:val="none"/>
        </w:rPr>
        <w:t>1</w:t>
      </w:r>
      <w:r>
        <w:rPr>
          <w:sz w:val="21"/>
          <w:szCs w:val="21"/>
          <w:highlight w:val="none"/>
        </w:rPr>
        <w:fldChar w:fldCharType="end"/>
      </w:r>
      <w:r>
        <w:rPr>
          <w:rFonts w:hint="eastAsia"/>
          <w:sz w:val="21"/>
          <w:szCs w:val="21"/>
          <w:highlight w:val="none"/>
          <w:lang w:val="zh-CN"/>
        </w:rPr>
        <w:fldChar w:fldCharType="end"/>
      </w:r>
    </w:p>
    <w:p w14:paraId="03989783">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_Toc22390 </w:instrText>
      </w:r>
      <w:r>
        <w:rPr>
          <w:rFonts w:hint="eastAsia"/>
          <w:sz w:val="21"/>
          <w:szCs w:val="21"/>
          <w:highlight w:val="none"/>
          <w:lang w:val="zh-CN"/>
        </w:rPr>
        <w:fldChar w:fldCharType="separate"/>
      </w:r>
      <w:r>
        <w:rPr>
          <w:rFonts w:ascii="黑体" w:hAnsi="黑体" w:eastAsia="黑体"/>
          <w:sz w:val="21"/>
          <w:szCs w:val="21"/>
          <w:highlight w:val="none"/>
        </w:rPr>
        <w:t>4</w:t>
      </w:r>
      <w:r>
        <w:rPr>
          <w:rFonts w:hint="eastAsia" w:ascii="黑体" w:hAnsi="黑体" w:eastAsia="黑体"/>
          <w:sz w:val="21"/>
          <w:szCs w:val="21"/>
          <w:highlight w:val="none"/>
        </w:rPr>
        <w:t xml:space="preserve"> 组分与材料</w:t>
      </w:r>
      <w:r>
        <w:rPr>
          <w:sz w:val="21"/>
          <w:szCs w:val="21"/>
          <w:highlight w:val="none"/>
        </w:rPr>
        <w:tab/>
      </w:r>
      <w:r>
        <w:rPr>
          <w:sz w:val="21"/>
          <w:szCs w:val="21"/>
          <w:highlight w:val="none"/>
        </w:rPr>
        <w:fldChar w:fldCharType="begin"/>
      </w:r>
      <w:r>
        <w:rPr>
          <w:sz w:val="21"/>
          <w:szCs w:val="21"/>
          <w:highlight w:val="none"/>
        </w:rPr>
        <w:instrText xml:space="preserve"> PAGEREF _Toc22390 \h </w:instrText>
      </w:r>
      <w:r>
        <w:rPr>
          <w:sz w:val="21"/>
          <w:szCs w:val="21"/>
          <w:highlight w:val="none"/>
        </w:rPr>
        <w:fldChar w:fldCharType="separate"/>
      </w:r>
      <w:r>
        <w:rPr>
          <w:sz w:val="21"/>
          <w:szCs w:val="21"/>
          <w:highlight w:val="none"/>
        </w:rPr>
        <w:t>2</w:t>
      </w:r>
      <w:r>
        <w:rPr>
          <w:sz w:val="21"/>
          <w:szCs w:val="21"/>
          <w:highlight w:val="none"/>
        </w:rPr>
        <w:fldChar w:fldCharType="end"/>
      </w:r>
      <w:r>
        <w:rPr>
          <w:rFonts w:hint="eastAsia"/>
          <w:sz w:val="21"/>
          <w:szCs w:val="21"/>
          <w:highlight w:val="none"/>
          <w:lang w:val="zh-CN"/>
        </w:rPr>
        <w:fldChar w:fldCharType="end"/>
      </w:r>
    </w:p>
    <w:p w14:paraId="7631A8F6">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_Toc30069 </w:instrText>
      </w:r>
      <w:r>
        <w:rPr>
          <w:rFonts w:hint="eastAsia"/>
          <w:sz w:val="21"/>
          <w:szCs w:val="21"/>
          <w:highlight w:val="none"/>
          <w:lang w:val="zh-CN"/>
        </w:rPr>
        <w:fldChar w:fldCharType="separate"/>
      </w:r>
      <w:r>
        <w:rPr>
          <w:rFonts w:ascii="黑体" w:hAnsi="黑体" w:eastAsia="黑体"/>
          <w:sz w:val="21"/>
          <w:szCs w:val="21"/>
          <w:highlight w:val="none"/>
        </w:rPr>
        <w:t xml:space="preserve">5 </w:t>
      </w:r>
      <w:r>
        <w:rPr>
          <w:rFonts w:hint="eastAsia" w:ascii="黑体" w:hAnsi="黑体" w:eastAsia="黑体"/>
          <w:sz w:val="21"/>
          <w:szCs w:val="21"/>
          <w:highlight w:val="none"/>
          <w:lang w:val="en-US" w:eastAsia="zh-CN"/>
        </w:rPr>
        <w:t>技术要求</w:t>
      </w:r>
      <w:r>
        <w:rPr>
          <w:sz w:val="21"/>
          <w:szCs w:val="21"/>
          <w:highlight w:val="none"/>
        </w:rPr>
        <w:tab/>
      </w:r>
      <w:r>
        <w:rPr>
          <w:sz w:val="21"/>
          <w:szCs w:val="21"/>
          <w:highlight w:val="none"/>
        </w:rPr>
        <w:fldChar w:fldCharType="begin"/>
      </w:r>
      <w:r>
        <w:rPr>
          <w:sz w:val="21"/>
          <w:szCs w:val="21"/>
          <w:highlight w:val="none"/>
        </w:rPr>
        <w:instrText xml:space="preserve"> PAGEREF _Toc30069 \h </w:instrText>
      </w:r>
      <w:r>
        <w:rPr>
          <w:sz w:val="21"/>
          <w:szCs w:val="21"/>
          <w:highlight w:val="none"/>
        </w:rPr>
        <w:fldChar w:fldCharType="separate"/>
      </w:r>
      <w:r>
        <w:rPr>
          <w:sz w:val="21"/>
          <w:szCs w:val="21"/>
          <w:highlight w:val="none"/>
        </w:rPr>
        <w:t>2</w:t>
      </w:r>
      <w:r>
        <w:rPr>
          <w:sz w:val="21"/>
          <w:szCs w:val="21"/>
          <w:highlight w:val="none"/>
        </w:rPr>
        <w:fldChar w:fldCharType="end"/>
      </w:r>
      <w:r>
        <w:rPr>
          <w:rFonts w:hint="eastAsia"/>
          <w:sz w:val="21"/>
          <w:szCs w:val="21"/>
          <w:highlight w:val="none"/>
          <w:lang w:val="zh-CN"/>
        </w:rPr>
        <w:fldChar w:fldCharType="end"/>
      </w:r>
    </w:p>
    <w:p w14:paraId="020A7944">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_Toc9588 </w:instrText>
      </w:r>
      <w:r>
        <w:rPr>
          <w:rFonts w:hint="eastAsia"/>
          <w:sz w:val="21"/>
          <w:szCs w:val="21"/>
          <w:highlight w:val="none"/>
          <w:lang w:val="zh-CN"/>
        </w:rPr>
        <w:fldChar w:fldCharType="separate"/>
      </w:r>
      <w:r>
        <w:rPr>
          <w:rFonts w:hint="eastAsia" w:ascii="黑体" w:hAnsi="黑体" w:eastAsia="黑体"/>
          <w:sz w:val="21"/>
          <w:szCs w:val="21"/>
          <w:highlight w:val="none"/>
          <w:lang w:val="en-US" w:eastAsia="zh-CN"/>
        </w:rPr>
        <w:t>6</w:t>
      </w:r>
      <w:r>
        <w:rPr>
          <w:rFonts w:ascii="黑体" w:hAnsi="黑体" w:eastAsia="黑体"/>
          <w:sz w:val="21"/>
          <w:szCs w:val="21"/>
          <w:highlight w:val="none"/>
        </w:rPr>
        <w:t xml:space="preserve"> </w:t>
      </w:r>
      <w:r>
        <w:rPr>
          <w:rFonts w:ascii="黑体" w:hAnsi="黑体" w:eastAsia="黑体" w:cs="Times New Roman"/>
          <w:sz w:val="21"/>
          <w:szCs w:val="21"/>
          <w:highlight w:val="none"/>
        </w:rPr>
        <w:t>试验方法</w:t>
      </w:r>
      <w:r>
        <w:rPr>
          <w:sz w:val="21"/>
          <w:szCs w:val="21"/>
          <w:highlight w:val="none"/>
        </w:rPr>
        <w:tab/>
      </w:r>
      <w:r>
        <w:rPr>
          <w:sz w:val="21"/>
          <w:szCs w:val="21"/>
          <w:highlight w:val="none"/>
        </w:rPr>
        <w:fldChar w:fldCharType="begin"/>
      </w:r>
      <w:r>
        <w:rPr>
          <w:sz w:val="21"/>
          <w:szCs w:val="21"/>
          <w:highlight w:val="none"/>
        </w:rPr>
        <w:instrText xml:space="preserve"> PAGEREF _Toc9588 \h </w:instrText>
      </w:r>
      <w:r>
        <w:rPr>
          <w:sz w:val="21"/>
          <w:szCs w:val="21"/>
          <w:highlight w:val="none"/>
        </w:rPr>
        <w:fldChar w:fldCharType="separate"/>
      </w:r>
      <w:r>
        <w:rPr>
          <w:sz w:val="21"/>
          <w:szCs w:val="21"/>
          <w:highlight w:val="none"/>
        </w:rPr>
        <w:t>3</w:t>
      </w:r>
      <w:r>
        <w:rPr>
          <w:sz w:val="21"/>
          <w:szCs w:val="21"/>
          <w:highlight w:val="none"/>
        </w:rPr>
        <w:fldChar w:fldCharType="end"/>
      </w:r>
      <w:r>
        <w:rPr>
          <w:rFonts w:hint="eastAsia"/>
          <w:sz w:val="21"/>
          <w:szCs w:val="21"/>
          <w:highlight w:val="none"/>
          <w:lang w:val="zh-CN"/>
        </w:rPr>
        <w:fldChar w:fldCharType="end"/>
      </w:r>
    </w:p>
    <w:p w14:paraId="6AF17632">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_Toc14453 </w:instrText>
      </w:r>
      <w:r>
        <w:rPr>
          <w:rFonts w:hint="eastAsia"/>
          <w:sz w:val="21"/>
          <w:szCs w:val="21"/>
          <w:highlight w:val="none"/>
          <w:lang w:val="zh-CN"/>
        </w:rPr>
        <w:fldChar w:fldCharType="separate"/>
      </w:r>
      <w:r>
        <w:rPr>
          <w:rFonts w:hint="eastAsia" w:ascii="黑体" w:hAnsi="黑体" w:eastAsia="黑体" w:cs="Times New Roman"/>
          <w:sz w:val="21"/>
          <w:szCs w:val="21"/>
          <w:highlight w:val="none"/>
          <w:lang w:val="en-US" w:eastAsia="zh-CN"/>
        </w:rPr>
        <w:t>7 检验规则</w:t>
      </w:r>
      <w:r>
        <w:rPr>
          <w:sz w:val="21"/>
          <w:szCs w:val="21"/>
          <w:highlight w:val="none"/>
        </w:rPr>
        <w:tab/>
      </w:r>
      <w:r>
        <w:rPr>
          <w:sz w:val="21"/>
          <w:szCs w:val="21"/>
          <w:highlight w:val="none"/>
        </w:rPr>
        <w:fldChar w:fldCharType="begin"/>
      </w:r>
      <w:r>
        <w:rPr>
          <w:sz w:val="21"/>
          <w:szCs w:val="21"/>
          <w:highlight w:val="none"/>
        </w:rPr>
        <w:instrText xml:space="preserve"> PAGEREF _Toc14453 \h </w:instrText>
      </w:r>
      <w:r>
        <w:rPr>
          <w:sz w:val="21"/>
          <w:szCs w:val="21"/>
          <w:highlight w:val="none"/>
        </w:rPr>
        <w:fldChar w:fldCharType="separate"/>
      </w:r>
      <w:r>
        <w:rPr>
          <w:sz w:val="21"/>
          <w:szCs w:val="21"/>
          <w:highlight w:val="none"/>
        </w:rPr>
        <w:t>4</w:t>
      </w:r>
      <w:r>
        <w:rPr>
          <w:sz w:val="21"/>
          <w:szCs w:val="21"/>
          <w:highlight w:val="none"/>
        </w:rPr>
        <w:fldChar w:fldCharType="end"/>
      </w:r>
      <w:r>
        <w:rPr>
          <w:rFonts w:hint="eastAsia"/>
          <w:sz w:val="21"/>
          <w:szCs w:val="21"/>
          <w:highlight w:val="none"/>
          <w:lang w:val="zh-CN"/>
        </w:rPr>
        <w:fldChar w:fldCharType="end"/>
      </w:r>
    </w:p>
    <w:p w14:paraId="56D232C9">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sz w:val="21"/>
          <w:szCs w:val="21"/>
          <w:highlight w:val="none"/>
        </w:rPr>
      </w:pPr>
      <w:r>
        <w:rPr>
          <w:rFonts w:hint="eastAsia"/>
          <w:sz w:val="21"/>
          <w:szCs w:val="21"/>
          <w:highlight w:val="none"/>
          <w:lang w:val="zh-CN"/>
        </w:rPr>
        <w:fldChar w:fldCharType="begin"/>
      </w:r>
      <w:r>
        <w:rPr>
          <w:rFonts w:hint="eastAsia"/>
          <w:sz w:val="21"/>
          <w:szCs w:val="21"/>
          <w:highlight w:val="none"/>
          <w:lang w:val="zh-CN"/>
        </w:rPr>
        <w:instrText xml:space="preserve"> HYPERLINK \l _Toc5032 </w:instrText>
      </w:r>
      <w:r>
        <w:rPr>
          <w:rFonts w:hint="eastAsia"/>
          <w:sz w:val="21"/>
          <w:szCs w:val="21"/>
          <w:highlight w:val="none"/>
          <w:lang w:val="zh-CN"/>
        </w:rPr>
        <w:fldChar w:fldCharType="separate"/>
      </w:r>
      <w:r>
        <w:rPr>
          <w:rFonts w:hint="eastAsia" w:ascii="黑体" w:hAnsi="黑体" w:eastAsia="黑体" w:cs="Times New Roman"/>
          <w:sz w:val="21"/>
          <w:szCs w:val="21"/>
          <w:highlight w:val="none"/>
          <w:lang w:val="en-US" w:eastAsia="zh-CN"/>
        </w:rPr>
        <w:t>8包装、标志、运输与贮存</w:t>
      </w:r>
      <w:r>
        <w:rPr>
          <w:sz w:val="21"/>
          <w:szCs w:val="21"/>
          <w:highlight w:val="none"/>
        </w:rPr>
        <w:tab/>
      </w:r>
      <w:r>
        <w:rPr>
          <w:sz w:val="21"/>
          <w:szCs w:val="21"/>
          <w:highlight w:val="none"/>
        </w:rPr>
        <w:fldChar w:fldCharType="begin"/>
      </w:r>
      <w:r>
        <w:rPr>
          <w:sz w:val="21"/>
          <w:szCs w:val="21"/>
          <w:highlight w:val="none"/>
        </w:rPr>
        <w:instrText xml:space="preserve"> PAGEREF _Toc5032 \h </w:instrText>
      </w:r>
      <w:r>
        <w:rPr>
          <w:sz w:val="21"/>
          <w:szCs w:val="21"/>
          <w:highlight w:val="none"/>
        </w:rPr>
        <w:fldChar w:fldCharType="separate"/>
      </w:r>
      <w:r>
        <w:rPr>
          <w:sz w:val="21"/>
          <w:szCs w:val="21"/>
          <w:highlight w:val="none"/>
        </w:rPr>
        <w:t>6</w:t>
      </w:r>
      <w:r>
        <w:rPr>
          <w:sz w:val="21"/>
          <w:szCs w:val="21"/>
          <w:highlight w:val="none"/>
        </w:rPr>
        <w:fldChar w:fldCharType="end"/>
      </w:r>
      <w:r>
        <w:rPr>
          <w:rFonts w:hint="eastAsia"/>
          <w:sz w:val="21"/>
          <w:szCs w:val="21"/>
          <w:highlight w:val="none"/>
          <w:lang w:val="zh-CN"/>
        </w:rPr>
        <w:fldChar w:fldCharType="end"/>
      </w:r>
    </w:p>
    <w:p w14:paraId="0919AF09">
      <w:pPr>
        <w:pStyle w:val="59"/>
        <w:keepNext w:val="0"/>
        <w:keepLines w:val="0"/>
        <w:pageBreakBefore w:val="0"/>
        <w:tabs>
          <w:tab w:val="right" w:leader="dot" w:pos="8307"/>
        </w:tabs>
        <w:kinsoku/>
        <w:wordWrap/>
        <w:overflowPunct/>
        <w:topLinePunct w:val="0"/>
        <w:autoSpaceDE/>
        <w:autoSpaceDN/>
        <w:bidi w:val="0"/>
        <w:adjustRightInd/>
        <w:snapToGrid/>
        <w:spacing w:before="79" w:beforeLines="25" w:after="79" w:afterLines="25"/>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lang w:val="zh-CN"/>
        </w:rPr>
        <w:fldChar w:fldCharType="begin"/>
      </w:r>
      <w:r>
        <w:rPr>
          <w:rFonts w:hint="eastAsia" w:ascii="黑体" w:hAnsi="黑体" w:eastAsia="黑体" w:cs="黑体"/>
          <w:sz w:val="21"/>
          <w:szCs w:val="21"/>
          <w:highlight w:val="none"/>
          <w:lang w:val="zh-CN"/>
        </w:rPr>
        <w:instrText xml:space="preserve"> HYPERLINK \l _Toc25238 </w:instrText>
      </w:r>
      <w:r>
        <w:rPr>
          <w:rFonts w:hint="eastAsia" w:ascii="黑体" w:hAnsi="黑体" w:eastAsia="黑体" w:cs="黑体"/>
          <w:sz w:val="21"/>
          <w:szCs w:val="21"/>
          <w:highlight w:val="none"/>
          <w:lang w:val="zh-CN"/>
        </w:rPr>
        <w:fldChar w:fldCharType="separate"/>
      </w:r>
      <w:r>
        <w:rPr>
          <w:rFonts w:hint="eastAsia" w:ascii="黑体" w:hAnsi="黑体" w:eastAsia="黑体" w:cs="黑体"/>
          <w:sz w:val="21"/>
          <w:szCs w:val="21"/>
          <w:highlight w:val="none"/>
        </w:rPr>
        <w:t>附录A （规范性） 玻璃微珠完好率和颗粒形貌试验方法</w:t>
      </w:r>
      <w:r>
        <w:rPr>
          <w:rFonts w:hint="eastAsia" w:ascii="黑体" w:hAnsi="黑体" w:eastAsia="黑体" w:cs="黑体"/>
          <w:sz w:val="21"/>
          <w:szCs w:val="21"/>
          <w:highlight w:val="none"/>
        </w:rPr>
        <w:tab/>
      </w:r>
      <w:r>
        <w:rPr>
          <w:rFonts w:hint="eastAsia" w:ascii="黑体" w:hAnsi="黑体" w:eastAsia="黑体" w:cs="黑体"/>
          <w:sz w:val="21"/>
          <w:szCs w:val="21"/>
          <w:highlight w:val="none"/>
        </w:rPr>
        <w:fldChar w:fldCharType="begin"/>
      </w:r>
      <w:r>
        <w:rPr>
          <w:rFonts w:hint="eastAsia" w:ascii="黑体" w:hAnsi="黑体" w:eastAsia="黑体" w:cs="黑体"/>
          <w:sz w:val="21"/>
          <w:szCs w:val="21"/>
          <w:highlight w:val="none"/>
        </w:rPr>
        <w:instrText xml:space="preserve"> PAGEREF _Toc25238 \h </w:instrText>
      </w:r>
      <w:r>
        <w:rPr>
          <w:rFonts w:hint="eastAsia" w:ascii="黑体" w:hAnsi="黑体" w:eastAsia="黑体" w:cs="黑体"/>
          <w:sz w:val="21"/>
          <w:szCs w:val="21"/>
          <w:highlight w:val="none"/>
        </w:rPr>
        <w:fldChar w:fldCharType="separate"/>
      </w:r>
      <w:r>
        <w:rPr>
          <w:rFonts w:hint="eastAsia" w:ascii="黑体" w:hAnsi="黑体" w:eastAsia="黑体" w:cs="黑体"/>
          <w:sz w:val="21"/>
          <w:szCs w:val="21"/>
          <w:highlight w:val="none"/>
        </w:rPr>
        <w:t>7</w:t>
      </w:r>
      <w:r>
        <w:rPr>
          <w:rFonts w:hint="eastAsia" w:ascii="黑体" w:hAnsi="黑体" w:eastAsia="黑体" w:cs="黑体"/>
          <w:sz w:val="21"/>
          <w:szCs w:val="21"/>
          <w:highlight w:val="none"/>
        </w:rPr>
        <w:fldChar w:fldCharType="end"/>
      </w:r>
      <w:r>
        <w:rPr>
          <w:rFonts w:hint="eastAsia" w:ascii="黑体" w:hAnsi="黑体" w:eastAsia="黑体" w:cs="黑体"/>
          <w:sz w:val="21"/>
          <w:szCs w:val="21"/>
          <w:highlight w:val="none"/>
          <w:lang w:val="zh-CN"/>
        </w:rPr>
        <w:fldChar w:fldCharType="end"/>
      </w:r>
    </w:p>
    <w:p w14:paraId="56DD5F31">
      <w:pPr>
        <w:keepNext w:val="0"/>
        <w:keepLines w:val="0"/>
        <w:pageBreakBefore w:val="0"/>
        <w:kinsoku/>
        <w:wordWrap/>
        <w:overflowPunct/>
        <w:topLinePunct w:val="0"/>
        <w:autoSpaceDE/>
        <w:autoSpaceDN/>
        <w:bidi w:val="0"/>
        <w:adjustRightInd/>
        <w:snapToGrid/>
        <w:spacing w:before="79" w:beforeLines="25" w:after="79" w:afterLines="25"/>
        <w:textAlignment w:val="auto"/>
        <w:rPr>
          <w:rFonts w:hint="eastAsia"/>
          <w:highlight w:val="none"/>
          <w:lang w:val="zh-CN"/>
        </w:rPr>
      </w:pPr>
      <w:r>
        <w:rPr>
          <w:rFonts w:hint="eastAsia"/>
          <w:sz w:val="21"/>
          <w:szCs w:val="21"/>
          <w:highlight w:val="none"/>
          <w:lang w:val="zh-CN"/>
        </w:rPr>
        <w:fldChar w:fldCharType="end"/>
      </w:r>
    </w:p>
    <w:p w14:paraId="544BEC9D">
      <w:pPr>
        <w:rPr>
          <w:rFonts w:hint="eastAsia"/>
          <w:highlight w:val="none"/>
          <w:lang w:val="zh-CN"/>
        </w:rPr>
      </w:pPr>
    </w:p>
    <w:p w14:paraId="2003D75A">
      <w:pPr>
        <w:snapToGrid w:val="0"/>
        <w:spacing w:line="320" w:lineRule="atLeast"/>
        <w:contextualSpacing/>
        <w:jc w:val="center"/>
        <w:outlineLvl w:val="0"/>
        <w:rPr>
          <w:rFonts w:eastAsia="黑体"/>
          <w:sz w:val="32"/>
          <w:szCs w:val="32"/>
          <w:highlight w:val="none"/>
        </w:rPr>
      </w:pPr>
      <w:r>
        <w:rPr>
          <w:b/>
          <w:bCs/>
          <w:highlight w:val="none"/>
          <w:lang w:val="zh-CN"/>
        </w:rPr>
        <w:br w:type="page"/>
      </w:r>
      <w:bookmarkStart w:id="1" w:name="_Toc157681473"/>
      <w:bookmarkStart w:id="2" w:name="_Toc21537"/>
      <w:r>
        <w:rPr>
          <w:rFonts w:hint="eastAsia" w:eastAsia="黑体"/>
          <w:sz w:val="32"/>
          <w:szCs w:val="32"/>
          <w:highlight w:val="none"/>
        </w:rPr>
        <w:t>前</w:t>
      </w:r>
      <w:r>
        <w:rPr>
          <w:rFonts w:eastAsia="黑体"/>
          <w:sz w:val="32"/>
          <w:szCs w:val="32"/>
          <w:highlight w:val="none"/>
        </w:rPr>
        <w:t xml:space="preserve">    </w:t>
      </w:r>
      <w:r>
        <w:rPr>
          <w:rFonts w:hint="eastAsia" w:eastAsia="黑体"/>
          <w:sz w:val="32"/>
          <w:szCs w:val="32"/>
          <w:highlight w:val="none"/>
        </w:rPr>
        <w:t>言</w:t>
      </w:r>
      <w:bookmarkEnd w:id="1"/>
      <w:bookmarkEnd w:id="2"/>
    </w:p>
    <w:p w14:paraId="42AED098">
      <w:pPr>
        <w:tabs>
          <w:tab w:val="left" w:pos="2205"/>
        </w:tabs>
        <w:rPr>
          <w:highlight w:val="none"/>
        </w:rPr>
      </w:pPr>
    </w:p>
    <w:p w14:paraId="60F1BD7B">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本文件按照GB/T 1.1-2020《标准化工作导则 第1部分：标准化文件的结构和起草规则》的规定起草。</w:t>
      </w:r>
    </w:p>
    <w:p w14:paraId="4995E2CA">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请注意本文件的某些内容可能涉及专利。本文件的发布机构不承担识别专利的责任。</w:t>
      </w:r>
    </w:p>
    <w:p w14:paraId="4AC7370B">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本文件由中国建筑材料联合会提出并归口。</w:t>
      </w:r>
    </w:p>
    <w:p w14:paraId="3C72A631">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本文件负责起草单位：厦门艾思欧标准砂有限公司</w:t>
      </w:r>
    </w:p>
    <w:p w14:paraId="717B5F33">
      <w:pPr>
        <w:spacing w:line="400" w:lineRule="exact"/>
        <w:ind w:firstLine="420" w:firstLineChars="200"/>
        <w:jc w:val="left"/>
        <w:rPr>
          <w:rFonts w:hint="eastAsia" w:ascii="Times New Roman" w:hAnsi="宋体" w:eastAsia="宋体" w:cs="Times New Roman"/>
          <w:szCs w:val="21"/>
          <w:highlight w:val="none"/>
          <w:lang w:eastAsia="zh-CN"/>
        </w:rPr>
      </w:pPr>
      <w:r>
        <w:rPr>
          <w:rFonts w:hint="eastAsia" w:ascii="Times New Roman" w:hAnsi="宋体" w:eastAsia="宋体" w:cs="Times New Roman"/>
          <w:szCs w:val="21"/>
          <w:highlight w:val="none"/>
        </w:rPr>
        <w:t>本文件</w:t>
      </w:r>
      <w:r>
        <w:rPr>
          <w:rFonts w:hint="eastAsia" w:ascii="Times New Roman" w:hAnsi="宋体" w:eastAsia="宋体" w:cs="Times New Roman"/>
          <w:szCs w:val="21"/>
          <w:highlight w:val="none"/>
          <w:lang w:val="en-US" w:eastAsia="zh-CN"/>
        </w:rPr>
        <w:t>参加</w:t>
      </w:r>
      <w:r>
        <w:rPr>
          <w:rFonts w:hint="eastAsia" w:ascii="Times New Roman" w:hAnsi="宋体" w:eastAsia="宋体" w:cs="Times New Roman"/>
          <w:szCs w:val="21"/>
          <w:highlight w:val="none"/>
        </w:rPr>
        <w:t>起草单位：浙江天远新材料科技有限公司</w:t>
      </w:r>
      <w:r>
        <w:rPr>
          <w:rFonts w:hint="eastAsia" w:ascii="Times New Roman" w:hAnsi="宋体" w:eastAsia="宋体" w:cs="Times New Roman"/>
          <w:szCs w:val="21"/>
          <w:highlight w:val="none"/>
          <w:lang w:eastAsia="zh-CN"/>
        </w:rPr>
        <w:t>、中国建筑材料科学研究总院有限公司</w:t>
      </w:r>
    </w:p>
    <w:p w14:paraId="70FAB192">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本文件主要起草人：</w:t>
      </w:r>
    </w:p>
    <w:p w14:paraId="1F0362F7">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本文件主要审查人：</w:t>
      </w:r>
    </w:p>
    <w:p w14:paraId="76E1F8CB">
      <w:pPr>
        <w:spacing w:line="400" w:lineRule="exact"/>
        <w:ind w:firstLine="420" w:firstLineChars="200"/>
        <w:jc w:val="left"/>
        <w:rPr>
          <w:rFonts w:ascii="Times New Roman" w:hAnsi="宋体" w:eastAsia="宋体" w:cs="Times New Roman"/>
          <w:szCs w:val="21"/>
          <w:highlight w:val="none"/>
        </w:rPr>
        <w:sectPr>
          <w:footerReference r:id="rId7" w:type="default"/>
          <w:pgSz w:w="11907" w:h="16839"/>
          <w:pgMar w:top="1440" w:right="1800" w:bottom="1440" w:left="1800" w:header="851" w:footer="992" w:gutter="0"/>
          <w:pgNumType w:fmt="upperRoman" w:start="1"/>
          <w:cols w:space="720" w:num="1"/>
          <w:docGrid w:type="lines" w:linePitch="312" w:charSpace="0"/>
        </w:sectPr>
      </w:pPr>
    </w:p>
    <w:p w14:paraId="030164DE">
      <w:pPr>
        <w:tabs>
          <w:tab w:val="center" w:pos="4153"/>
          <w:tab w:val="left" w:pos="7200"/>
        </w:tabs>
        <w:spacing w:before="312" w:beforeLines="100"/>
        <w:jc w:val="center"/>
        <w:outlineLvl w:val="9"/>
        <w:rPr>
          <w:rFonts w:hint="eastAsia" w:eastAsia="黑体"/>
          <w:sz w:val="32"/>
          <w:szCs w:val="32"/>
          <w:highlight w:val="none"/>
        </w:rPr>
      </w:pPr>
      <w:r>
        <w:rPr>
          <w:rFonts w:hint="eastAsia" w:eastAsia="黑体"/>
          <w:sz w:val="32"/>
          <w:szCs w:val="32"/>
          <w:highlight w:val="none"/>
        </w:rPr>
        <w:t>用于水泥和混凝土中的物理改性粉煤灰</w:t>
      </w:r>
    </w:p>
    <w:p w14:paraId="49326E63">
      <w:pPr>
        <w:pStyle w:val="33"/>
        <w:spacing w:before="312" w:beforeLines="100" w:after="312" w:afterLines="100"/>
        <w:outlineLvl w:val="0"/>
        <w:rPr>
          <w:rFonts w:hint="eastAsia" w:ascii="黑体" w:hAnsi="黑体" w:eastAsia="黑体" w:cs="Times New Roman"/>
          <w:highlight w:val="none"/>
        </w:rPr>
      </w:pPr>
      <w:bookmarkStart w:id="3" w:name="_Toc93859381"/>
      <w:bookmarkStart w:id="4" w:name="_Toc157681474"/>
      <w:bookmarkStart w:id="5" w:name="_Toc93859460"/>
      <w:bookmarkStart w:id="6" w:name="_Toc22756"/>
      <w:r>
        <w:rPr>
          <w:rFonts w:hint="eastAsia" w:ascii="黑体" w:hAnsi="黑体" w:eastAsia="黑体" w:cs="Times New Roman"/>
          <w:highlight w:val="none"/>
        </w:rPr>
        <w:t>1 范围</w:t>
      </w:r>
      <w:bookmarkEnd w:id="3"/>
      <w:bookmarkEnd w:id="4"/>
      <w:bookmarkEnd w:id="5"/>
      <w:bookmarkEnd w:id="6"/>
    </w:p>
    <w:p w14:paraId="1B6354F6">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本文件规定了用于</w:t>
      </w:r>
      <w:r>
        <w:rPr>
          <w:rFonts w:hint="eastAsia" w:ascii="Times New Roman" w:hAnsi="宋体" w:eastAsia="宋体" w:cs="Times New Roman"/>
          <w:szCs w:val="21"/>
          <w:highlight w:val="none"/>
          <w:lang w:val="en-US" w:eastAsia="zh-CN"/>
        </w:rPr>
        <w:t>水泥和</w:t>
      </w:r>
      <w:r>
        <w:rPr>
          <w:rFonts w:hint="eastAsia" w:ascii="Times New Roman" w:hAnsi="宋体" w:eastAsia="宋体" w:cs="Times New Roman"/>
          <w:szCs w:val="21"/>
          <w:highlight w:val="none"/>
        </w:rPr>
        <w:t>混凝土中的</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粉煤灰的组分与材料、技术要求、试验方法、检验规则、包装、标志、运输与贮存。</w:t>
      </w:r>
    </w:p>
    <w:p w14:paraId="431F4870">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本标准适用于拌制砂浆和混凝土时作为掺合料的</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粉煤灰及水泥生产中作为活性混合材料的</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w:t>
      </w:r>
    </w:p>
    <w:p w14:paraId="23EBD03C">
      <w:pPr>
        <w:pStyle w:val="33"/>
        <w:spacing w:before="312" w:beforeLines="100" w:after="312" w:afterLines="100"/>
        <w:outlineLvl w:val="0"/>
        <w:rPr>
          <w:rFonts w:hint="eastAsia" w:ascii="黑体" w:hAnsi="黑体" w:eastAsia="黑体" w:cs="Times New Roman"/>
          <w:highlight w:val="none"/>
        </w:rPr>
      </w:pPr>
      <w:bookmarkStart w:id="7" w:name="_Toc93859461"/>
      <w:bookmarkStart w:id="8" w:name="_Toc157681475"/>
      <w:bookmarkStart w:id="9" w:name="_Toc93859382"/>
      <w:bookmarkStart w:id="10" w:name="_Toc26012"/>
      <w:r>
        <w:rPr>
          <w:rFonts w:hint="eastAsia" w:ascii="黑体" w:hAnsi="黑体" w:eastAsia="黑体" w:cs="Times New Roman"/>
          <w:highlight w:val="none"/>
        </w:rPr>
        <w:t>2 规范性引用文件</w:t>
      </w:r>
      <w:bookmarkEnd w:id="7"/>
      <w:bookmarkEnd w:id="8"/>
      <w:bookmarkEnd w:id="9"/>
      <w:bookmarkEnd w:id="10"/>
    </w:p>
    <w:p w14:paraId="58AF0E41">
      <w:pPr>
        <w:spacing w:line="400" w:lineRule="exact"/>
        <w:ind w:firstLine="420" w:firstLineChars="200"/>
        <w:jc w:val="left"/>
        <w:rPr>
          <w:rFonts w:ascii="Times New Roman" w:hAnsi="宋体" w:eastAsia="宋体" w:cs="Times New Roman"/>
          <w:szCs w:val="21"/>
          <w:highlight w:val="none"/>
        </w:rPr>
      </w:pPr>
      <w:r>
        <w:rPr>
          <w:rFonts w:hint="eastAsia" w:ascii="Times New Roman" w:hAnsi="宋体" w:eastAsia="宋体" w:cs="Times New Roman"/>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hAnsi="宋体" w:eastAsia="宋体" w:cs="Times New Roman"/>
          <w:szCs w:val="21"/>
          <w:highlight w:val="none"/>
        </w:rPr>
        <w:t>。</w:t>
      </w:r>
    </w:p>
    <w:p w14:paraId="65104666">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t>GB 175  通用硅酸盐水泥</w:t>
      </w:r>
    </w:p>
    <w:p w14:paraId="1DB3E368">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t>GB/T 176  水泥化学分析方法</w:t>
      </w:r>
    </w:p>
    <w:p w14:paraId="7B6E0F08">
      <w:pPr>
        <w:spacing w:line="400" w:lineRule="exact"/>
        <w:ind w:firstLine="420" w:firstLineChars="200"/>
        <w:jc w:val="left"/>
        <w:rPr>
          <w:rFonts w:ascii="Times New Roman" w:hAnsi="宋体" w:eastAsia="宋体" w:cs="Times New Roman"/>
          <w:szCs w:val="21"/>
          <w:highlight w:val="none"/>
        </w:rPr>
      </w:pPr>
      <w:r>
        <w:rPr>
          <w:rFonts w:hint="eastAsia" w:ascii="Times New Roman" w:hAnsi="宋体" w:eastAsia="宋体" w:cs="Times New Roman"/>
          <w:szCs w:val="21"/>
          <w:highlight w:val="none"/>
        </w:rPr>
        <w:t>GB/T 208  水泥密度测定方法</w:t>
      </w:r>
    </w:p>
    <w:p w14:paraId="779DA903">
      <w:pPr>
        <w:spacing w:line="400" w:lineRule="exact"/>
        <w:ind w:firstLine="420" w:firstLineChars="200"/>
        <w:jc w:val="left"/>
        <w:rPr>
          <w:rFonts w:hint="eastAsia" w:ascii="Times New Roman" w:hAnsi="宋体" w:eastAsia="宋体" w:cs="Times New Roman"/>
          <w:szCs w:val="21"/>
          <w:highlight w:val="none"/>
        </w:rPr>
      </w:pPr>
      <w:r>
        <w:rPr>
          <w:rFonts w:ascii="Times New Roman" w:hAnsi="宋体" w:eastAsia="宋体" w:cs="Times New Roman"/>
          <w:szCs w:val="21"/>
          <w:highlight w:val="none"/>
        </w:rPr>
        <w:t>GB/T 678</w:t>
      </w:r>
      <w:r>
        <w:rPr>
          <w:rFonts w:hint="eastAsia" w:ascii="Times New Roman" w:hAnsi="宋体" w:eastAsia="宋体" w:cs="Times New Roman"/>
          <w:szCs w:val="21"/>
          <w:highlight w:val="none"/>
        </w:rPr>
        <w:t xml:space="preserve">  化学试剂 乙醇（无水乙醇）</w:t>
      </w:r>
    </w:p>
    <w:p w14:paraId="36FCC840">
      <w:pPr>
        <w:spacing w:line="400" w:lineRule="exact"/>
        <w:ind w:firstLine="420" w:firstLineChars="200"/>
        <w:jc w:val="left"/>
        <w:rPr>
          <w:rFonts w:hint="default" w:ascii="Times New Roman" w:hAnsi="宋体" w:eastAsia="宋体" w:cs="Times New Roman"/>
          <w:szCs w:val="21"/>
          <w:highlight w:val="none"/>
          <w:lang w:val="en-US" w:eastAsia="zh-CN"/>
        </w:rPr>
      </w:pPr>
      <w:r>
        <w:rPr>
          <w:rFonts w:ascii="Times New Roman" w:hAnsi="宋体" w:eastAsia="宋体" w:cs="Times New Roman"/>
          <w:szCs w:val="21"/>
          <w:highlight w:val="none"/>
        </w:rPr>
        <w:t>GB/T</w:t>
      </w:r>
      <w:r>
        <w:rPr>
          <w:rFonts w:hint="eastAsia" w:ascii="Times New Roman" w:hAnsi="宋体" w:eastAsia="宋体" w:cs="Times New Roman"/>
          <w:szCs w:val="21"/>
          <w:highlight w:val="none"/>
          <w:lang w:val="en-US" w:eastAsia="zh-CN"/>
        </w:rPr>
        <w:t xml:space="preserve"> 1346  水泥标准稠度用水量、凝结时间与安定性检验方法</w:t>
      </w:r>
    </w:p>
    <w:p w14:paraId="69E18CAA">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t>GB/T 1596  用于水泥和混凝土中的粉煤灰</w:t>
      </w:r>
    </w:p>
    <w:p w14:paraId="5836182F">
      <w:pPr>
        <w:spacing w:line="400" w:lineRule="exact"/>
        <w:ind w:firstLine="420" w:firstLineChars="200"/>
        <w:jc w:val="left"/>
        <w:rPr>
          <w:rFonts w:ascii="Times New Roman" w:hAnsi="宋体" w:eastAsia="宋体" w:cs="Times New Roman"/>
          <w:szCs w:val="21"/>
          <w:highlight w:val="none"/>
        </w:rPr>
      </w:pPr>
      <w:r>
        <w:rPr>
          <w:rFonts w:hint="eastAsia" w:ascii="Times New Roman" w:hAnsi="宋体" w:eastAsia="宋体" w:cs="Times New Roman"/>
          <w:szCs w:val="21"/>
          <w:highlight w:val="none"/>
        </w:rPr>
        <w:t>GB/T 6566  建筑材料放射性核素限量</w:t>
      </w:r>
    </w:p>
    <w:p w14:paraId="7941747F">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GB/T 9774  水泥包装袋</w:t>
      </w:r>
    </w:p>
    <w:p w14:paraId="04EC5E59">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GB/T 12573</w:t>
      </w:r>
      <w:r>
        <w:rPr>
          <w:rFonts w:hint="eastAsia" w:ascii="Times New Roman" w:hAnsi="宋体" w:eastAsia="宋体" w:cs="Times New Roman"/>
          <w:szCs w:val="21"/>
          <w:highlight w:val="none"/>
          <w:lang w:val="en-US" w:eastAsia="zh-CN"/>
        </w:rPr>
        <w:t xml:space="preserve">  水泥取样方法</w:t>
      </w:r>
    </w:p>
    <w:p w14:paraId="52202D4F">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GB/T 39701  粉煤灰中铵离子含量的限量及检验方法</w:t>
      </w:r>
    </w:p>
    <w:p w14:paraId="44AED909">
      <w:pPr>
        <w:spacing w:line="400" w:lineRule="exact"/>
        <w:ind w:firstLine="420" w:firstLineChars="200"/>
        <w:jc w:val="left"/>
        <w:rPr>
          <w:rFonts w:hint="default" w:ascii="Times New Roman" w:hAnsi="宋体" w:eastAsia="宋体" w:cs="Times New Roman"/>
          <w:szCs w:val="21"/>
          <w:highlight w:val="none"/>
          <w:lang w:val="en-US"/>
        </w:rPr>
      </w:pPr>
      <w:r>
        <w:rPr>
          <w:rFonts w:hint="eastAsia" w:ascii="Times New Roman" w:hAnsi="宋体" w:eastAsia="宋体" w:cs="Times New Roman"/>
          <w:szCs w:val="21"/>
          <w:highlight w:val="none"/>
          <w:lang w:val="en-US" w:eastAsia="zh-CN"/>
        </w:rPr>
        <w:t>GSB 08-3912  粉煤灰铵离子含量系列标准样品</w:t>
      </w:r>
    </w:p>
    <w:p w14:paraId="543FA4C8">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t>JC/T 721  水泥颗粒级配测定方法 激光法</w:t>
      </w:r>
    </w:p>
    <w:p w14:paraId="6BD683D4">
      <w:pPr>
        <w:spacing w:line="400" w:lineRule="exact"/>
        <w:ind w:firstLine="420" w:firstLineChars="200"/>
        <w:jc w:val="left"/>
        <w:rPr>
          <w:rFonts w:ascii="Times New Roman" w:hAnsi="宋体" w:eastAsia="宋体" w:cs="Times New Roman"/>
          <w:szCs w:val="21"/>
          <w:highlight w:val="none"/>
        </w:rPr>
      </w:pPr>
      <w:r>
        <w:rPr>
          <w:rFonts w:hint="eastAsia" w:ascii="Times New Roman" w:hAnsi="宋体" w:eastAsia="宋体" w:cs="Times New Roman"/>
          <w:szCs w:val="21"/>
          <w:highlight w:val="none"/>
        </w:rPr>
        <w:t>JY/T 0584  扫描电子显微镜分析方法通则</w:t>
      </w:r>
    </w:p>
    <w:p w14:paraId="578BE4B3">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fldChar w:fldCharType="begin"/>
      </w:r>
      <w:r>
        <w:rPr>
          <w:rFonts w:ascii="Times New Roman" w:hAnsi="宋体" w:eastAsia="宋体" w:cs="Times New Roman"/>
          <w:szCs w:val="21"/>
          <w:highlight w:val="none"/>
        </w:rPr>
        <w:instrText xml:space="preserve"> HYPERLINK "https://www.doc88.com/p-99829769060145.html" \t "https://cn.bing.com/_blank" </w:instrText>
      </w:r>
      <w:r>
        <w:rPr>
          <w:rFonts w:ascii="Times New Roman" w:hAnsi="宋体" w:eastAsia="宋体" w:cs="Times New Roman"/>
          <w:szCs w:val="21"/>
          <w:highlight w:val="none"/>
        </w:rPr>
        <w:fldChar w:fldCharType="separate"/>
      </w:r>
      <w:r>
        <w:rPr>
          <w:rFonts w:hint="eastAsia" w:ascii="Times New Roman" w:hAnsi="宋体" w:eastAsia="宋体" w:cs="Times New Roman"/>
          <w:szCs w:val="21"/>
          <w:highlight w:val="none"/>
        </w:rPr>
        <w:t>SJ 21257  离子束溅射镀膜设备通用规范</w:t>
      </w:r>
      <w:r>
        <w:rPr>
          <w:rFonts w:hint="eastAsia" w:ascii="Times New Roman" w:hAnsi="宋体" w:eastAsia="宋体" w:cs="Times New Roman"/>
          <w:szCs w:val="21"/>
          <w:highlight w:val="none"/>
        </w:rPr>
        <w:fldChar w:fldCharType="end"/>
      </w:r>
    </w:p>
    <w:p w14:paraId="222BA2CA">
      <w:pPr>
        <w:pStyle w:val="33"/>
        <w:spacing w:before="312" w:beforeLines="100" w:after="312" w:afterLines="100"/>
        <w:outlineLvl w:val="0"/>
        <w:rPr>
          <w:rFonts w:ascii="黑体" w:hAnsi="黑体" w:eastAsia="黑体"/>
          <w:highlight w:val="none"/>
        </w:rPr>
      </w:pPr>
      <w:bookmarkStart w:id="11" w:name="_Toc21602"/>
      <w:bookmarkStart w:id="12" w:name="_Toc157681477"/>
      <w:bookmarkStart w:id="13" w:name="_Toc118815687"/>
      <w:bookmarkStart w:id="14" w:name="_Toc93859463"/>
      <w:bookmarkStart w:id="15" w:name="_Toc93690060"/>
      <w:bookmarkStart w:id="16" w:name="_Toc93859617"/>
      <w:bookmarkStart w:id="17" w:name="_Toc93050026"/>
      <w:bookmarkStart w:id="18" w:name="_Toc69821725"/>
      <w:bookmarkStart w:id="19" w:name="_Toc69471764"/>
      <w:bookmarkStart w:id="20" w:name="_Toc93859383"/>
      <w:bookmarkStart w:id="21" w:name="_Toc93859462"/>
      <w:bookmarkStart w:id="22" w:name="_Toc157681476"/>
      <w:r>
        <w:rPr>
          <w:rFonts w:ascii="黑体" w:hAnsi="黑体" w:eastAsia="黑体"/>
          <w:highlight w:val="none"/>
        </w:rPr>
        <w:t>3 术语和定义</w:t>
      </w:r>
      <w:bookmarkEnd w:id="11"/>
    </w:p>
    <w:p w14:paraId="7E8D431F">
      <w:pPr>
        <w:spacing w:line="400" w:lineRule="exact"/>
        <w:ind w:firstLine="420" w:firstLineChars="200"/>
        <w:jc w:val="left"/>
        <w:rPr>
          <w:rFonts w:ascii="Times New Roman" w:hAnsi="宋体" w:eastAsia="宋体" w:cs="Times New Roman"/>
          <w:szCs w:val="21"/>
          <w:highlight w:val="none"/>
        </w:rPr>
      </w:pPr>
      <w:r>
        <w:rPr>
          <w:rFonts w:hint="eastAsia" w:ascii="Times New Roman" w:hAnsi="宋体" w:eastAsia="宋体" w:cs="Times New Roman"/>
          <w:szCs w:val="21"/>
          <w:highlight w:val="none"/>
        </w:rPr>
        <w:t>下列术语和定义适用于本文件。</w:t>
      </w:r>
    </w:p>
    <w:p w14:paraId="34BBDE91">
      <w:pPr>
        <w:pStyle w:val="33"/>
        <w:keepNext w:val="0"/>
        <w:keepLines w:val="0"/>
        <w:pageBreakBefore w:val="0"/>
        <w:widowControl w:val="0"/>
        <w:kinsoku/>
        <w:wordWrap/>
        <w:overflowPunct/>
        <w:topLinePunct w:val="0"/>
        <w:autoSpaceDE/>
        <w:autoSpaceDN/>
        <w:bidi w:val="0"/>
        <w:adjustRightInd/>
        <w:snapToGrid/>
        <w:spacing w:after="0" w:afterLines="0"/>
        <w:textAlignment w:val="auto"/>
        <w:outlineLvl w:val="1"/>
        <w:rPr>
          <w:rFonts w:ascii="黑体" w:hAnsi="黑体" w:eastAsia="黑体"/>
          <w:highlight w:val="none"/>
        </w:rPr>
      </w:pPr>
      <w:r>
        <w:rPr>
          <w:rFonts w:hint="eastAsia" w:ascii="黑体" w:hAnsi="黑体" w:eastAsia="黑体"/>
          <w:highlight w:val="none"/>
        </w:rPr>
        <w:t>3.1</w:t>
      </w:r>
      <w:bookmarkEnd w:id="12"/>
      <w:bookmarkEnd w:id="13"/>
      <w:bookmarkEnd w:id="14"/>
      <w:bookmarkEnd w:id="15"/>
      <w:bookmarkEnd w:id="16"/>
      <w:bookmarkEnd w:id="17"/>
      <w:bookmarkEnd w:id="18"/>
      <w:bookmarkEnd w:id="19"/>
    </w:p>
    <w:p w14:paraId="5C6AC732">
      <w:pPr>
        <w:spacing w:line="400" w:lineRule="exact"/>
        <w:ind w:firstLine="435"/>
        <w:jc w:val="left"/>
        <w:rPr>
          <w:rFonts w:hint="eastAsia" w:ascii="黑体" w:hAnsi="黑体" w:eastAsia="黑体" w:cs="等线"/>
          <w:szCs w:val="21"/>
          <w:highlight w:val="none"/>
        </w:rPr>
      </w:pPr>
      <w:r>
        <w:rPr>
          <w:rFonts w:hint="eastAsia" w:ascii="黑体" w:hAnsi="黑体" w:eastAsia="黑体" w:cs="等线"/>
          <w:szCs w:val="21"/>
          <w:highlight w:val="none"/>
        </w:rPr>
        <w:t>物理改性粉煤灰 Physical-modified fly ash</w:t>
      </w:r>
    </w:p>
    <w:p w14:paraId="67A3A5E9">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lang w:val="en-US" w:eastAsia="zh-CN"/>
        </w:rPr>
        <w:t>燃煤</w:t>
      </w:r>
      <w:r>
        <w:rPr>
          <w:rFonts w:hint="eastAsia" w:ascii="Times New Roman" w:hAnsi="宋体" w:eastAsia="宋体" w:cs="Times New Roman"/>
          <w:szCs w:val="21"/>
          <w:highlight w:val="none"/>
        </w:rPr>
        <w:t>电厂锅炉烟气经</w:t>
      </w:r>
      <w:r>
        <w:rPr>
          <w:rFonts w:hint="eastAsia" w:ascii="Times New Roman" w:hAnsi="宋体" w:eastAsia="宋体" w:cs="Times New Roman"/>
          <w:szCs w:val="21"/>
          <w:highlight w:val="none"/>
        </w:rPr>
        <w:fldChar w:fldCharType="begin"/>
      </w:r>
      <w:r>
        <w:rPr>
          <w:rFonts w:hint="eastAsia" w:ascii="Times New Roman" w:hAnsi="宋体" w:eastAsia="宋体" w:cs="Times New Roman"/>
          <w:szCs w:val="21"/>
          <w:highlight w:val="none"/>
        </w:rPr>
        <w:instrText xml:space="preserve"> HYPERLINK "https://baike.baidu.com/item/%E9%99%A4%E5%B0%98%E5%99%A8/391130?fromModule=lemma_inlink" \t "https://baike.baidu.com/item/%E7%B2%89%E7%85%A4%E7%81%B0/_blank" </w:instrText>
      </w:r>
      <w:r>
        <w:rPr>
          <w:rFonts w:hint="eastAsia" w:ascii="Times New Roman" w:hAnsi="宋体" w:eastAsia="宋体" w:cs="Times New Roman"/>
          <w:szCs w:val="21"/>
          <w:highlight w:val="none"/>
        </w:rPr>
        <w:fldChar w:fldCharType="separate"/>
      </w:r>
      <w:r>
        <w:rPr>
          <w:rFonts w:hint="eastAsia" w:ascii="Times New Roman" w:hAnsi="宋体" w:eastAsia="宋体" w:cs="Times New Roman"/>
          <w:szCs w:val="21"/>
          <w:highlight w:val="none"/>
        </w:rPr>
        <w:t>除尘器</w:t>
      </w:r>
      <w:r>
        <w:rPr>
          <w:rFonts w:hint="eastAsia" w:ascii="Times New Roman" w:hAnsi="宋体" w:eastAsia="宋体" w:cs="Times New Roman"/>
          <w:szCs w:val="21"/>
          <w:highlight w:val="none"/>
        </w:rPr>
        <w:fldChar w:fldCharType="end"/>
      </w:r>
      <w:r>
        <w:rPr>
          <w:rFonts w:hint="eastAsia" w:ascii="Times New Roman" w:hAnsi="宋体" w:eastAsia="宋体" w:cs="Times New Roman"/>
          <w:szCs w:val="21"/>
          <w:highlight w:val="none"/>
          <w:lang w:val="en-US" w:eastAsia="zh-CN"/>
        </w:rPr>
        <w:t>收集的原始粉煤灰</w:t>
      </w:r>
      <w:r>
        <w:rPr>
          <w:rFonts w:hint="eastAsia" w:ascii="Times New Roman" w:hAnsi="宋体" w:eastAsia="宋体" w:cs="Times New Roman"/>
          <w:szCs w:val="21"/>
          <w:highlight w:val="none"/>
        </w:rPr>
        <w:t>，</w:t>
      </w:r>
      <w:r>
        <w:rPr>
          <w:rFonts w:hint="eastAsia" w:ascii="Times New Roman" w:hAnsi="宋体" w:eastAsia="宋体" w:cs="Times New Roman"/>
          <w:szCs w:val="21"/>
          <w:highlight w:val="none"/>
          <w:lang w:val="en-US" w:eastAsia="zh-CN"/>
        </w:rPr>
        <w:t>通过</w:t>
      </w:r>
      <w:r>
        <w:rPr>
          <w:rFonts w:hint="eastAsia" w:ascii="Times New Roman" w:hAnsi="宋体" w:eastAsia="宋体" w:cs="Times New Roman"/>
          <w:szCs w:val="21"/>
          <w:highlight w:val="none"/>
        </w:rPr>
        <w:t>研磨整形等</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方式加工得到的</w:t>
      </w:r>
      <w:r>
        <w:rPr>
          <w:rFonts w:hint="eastAsia" w:ascii="Times New Roman" w:hAnsi="宋体" w:eastAsia="宋体" w:cs="Times New Roman"/>
          <w:szCs w:val="21"/>
          <w:highlight w:val="none"/>
          <w:lang w:val="en-US" w:eastAsia="zh-CN"/>
        </w:rPr>
        <w:t>细粉状固体颗粒物</w:t>
      </w:r>
      <w:r>
        <w:rPr>
          <w:rFonts w:hint="eastAsia" w:ascii="Times New Roman" w:hAnsi="宋体" w:eastAsia="宋体" w:cs="Times New Roman"/>
          <w:szCs w:val="21"/>
          <w:highlight w:val="none"/>
        </w:rPr>
        <w:t>。</w:t>
      </w:r>
    </w:p>
    <w:p w14:paraId="3A3469E0">
      <w:pPr>
        <w:pStyle w:val="33"/>
        <w:keepNext w:val="0"/>
        <w:keepLines w:val="0"/>
        <w:pageBreakBefore w:val="0"/>
        <w:widowControl w:val="0"/>
        <w:kinsoku/>
        <w:wordWrap/>
        <w:overflowPunct/>
        <w:topLinePunct w:val="0"/>
        <w:autoSpaceDE/>
        <w:autoSpaceDN/>
        <w:bidi w:val="0"/>
        <w:adjustRightInd/>
        <w:snapToGrid/>
        <w:spacing w:after="0" w:afterLines="0"/>
        <w:textAlignment w:val="auto"/>
        <w:outlineLvl w:val="1"/>
        <w:rPr>
          <w:rFonts w:hint="eastAsia" w:ascii="黑体" w:hAnsi="黑体" w:eastAsia="黑体"/>
          <w:highlight w:val="none"/>
          <w:lang w:eastAsia="zh-CN"/>
        </w:rPr>
      </w:pPr>
      <w:r>
        <w:rPr>
          <w:rFonts w:hint="eastAsia" w:ascii="黑体" w:hAnsi="黑体" w:eastAsia="黑体"/>
          <w:highlight w:val="none"/>
        </w:rPr>
        <w:t>3.</w:t>
      </w:r>
      <w:r>
        <w:rPr>
          <w:rFonts w:hint="eastAsia" w:ascii="黑体" w:hAnsi="黑体" w:eastAsia="黑体"/>
          <w:highlight w:val="none"/>
          <w:lang w:val="en-US" w:eastAsia="zh-CN"/>
        </w:rPr>
        <w:t>2</w:t>
      </w:r>
    </w:p>
    <w:p w14:paraId="67BDEABD">
      <w:pPr>
        <w:spacing w:line="400" w:lineRule="exact"/>
        <w:ind w:firstLine="435"/>
        <w:jc w:val="left"/>
        <w:rPr>
          <w:rFonts w:hint="eastAsia" w:ascii="黑体" w:hAnsi="黑体" w:eastAsia="黑体" w:cs="等线"/>
          <w:szCs w:val="21"/>
          <w:highlight w:val="none"/>
        </w:rPr>
      </w:pPr>
      <w:r>
        <w:rPr>
          <w:rFonts w:hint="eastAsia" w:eastAsia="黑体" w:cs="等线"/>
          <w:szCs w:val="21"/>
          <w:highlight w:val="none"/>
          <w:lang w:val="en-US" w:eastAsia="zh-CN"/>
        </w:rPr>
        <w:t>玻璃微珠完好率</w:t>
      </w:r>
      <w:r>
        <w:rPr>
          <w:rFonts w:hint="eastAsia" w:ascii="黑体" w:hAnsi="黑体" w:eastAsia="黑体" w:cs="等线"/>
          <w:szCs w:val="21"/>
          <w:highlight w:val="none"/>
        </w:rPr>
        <w:t xml:space="preserve"> Integrity rate of glass beads</w:t>
      </w:r>
    </w:p>
    <w:p w14:paraId="02A88B49">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粉煤灰经研磨整形等物理改性方式加工后，完好玻璃微珠数量（质量）与玻璃微珠总数量（质量）的比值。</w:t>
      </w:r>
    </w:p>
    <w:p w14:paraId="70FCF2D4">
      <w:pPr>
        <w:spacing w:line="400" w:lineRule="exact"/>
        <w:ind w:firstLine="361" w:firstLineChars="200"/>
        <w:jc w:val="left"/>
        <w:rPr>
          <w:rFonts w:hint="default" w:ascii="Times New Roman" w:hAnsi="宋体" w:eastAsia="宋体" w:cs="Times New Roman"/>
          <w:sz w:val="18"/>
          <w:szCs w:val="18"/>
          <w:highlight w:val="none"/>
          <w:lang w:val="en-US" w:eastAsia="zh-CN"/>
        </w:rPr>
      </w:pPr>
      <w:r>
        <w:rPr>
          <w:rFonts w:hint="eastAsia" w:ascii="Times New Roman" w:hAnsi="宋体" w:eastAsia="宋体" w:cs="Times New Roman"/>
          <w:b/>
          <w:bCs/>
          <w:sz w:val="18"/>
          <w:szCs w:val="18"/>
          <w:highlight w:val="none"/>
          <w:lang w:val="en-US" w:eastAsia="zh-CN"/>
        </w:rPr>
        <w:t>注：</w:t>
      </w:r>
      <w:r>
        <w:rPr>
          <w:rFonts w:hint="eastAsia" w:ascii="Times New Roman" w:hAnsi="宋体" w:eastAsia="宋体" w:cs="Times New Roman"/>
          <w:sz w:val="18"/>
          <w:szCs w:val="18"/>
          <w:highlight w:val="none"/>
          <w:lang w:val="en-US" w:eastAsia="zh-CN"/>
        </w:rPr>
        <w:t>玻璃微珠是煤粉在1400</w:t>
      </w:r>
      <w:r>
        <w:rPr>
          <w:rFonts w:hint="default" w:ascii="Times New Roman" w:hAnsi="Times New Roman" w:eastAsia="宋体" w:cs="Times New Roman"/>
          <w:sz w:val="18"/>
          <w:szCs w:val="18"/>
          <w:highlight w:val="none"/>
          <w:lang w:val="en-US" w:eastAsia="zh-CN"/>
        </w:rPr>
        <w:t>℃</w:t>
      </w:r>
      <w:r>
        <w:rPr>
          <w:rFonts w:hint="eastAsia" w:ascii="Times New Roman" w:hAnsi="宋体" w:eastAsia="宋体" w:cs="Times New Roman"/>
          <w:sz w:val="18"/>
          <w:szCs w:val="18"/>
          <w:highlight w:val="none"/>
          <w:lang w:val="en-US" w:eastAsia="zh-CN"/>
        </w:rPr>
        <w:t>以上燃烧形成共熔体产生的液相冷却形成的玻璃体。</w:t>
      </w:r>
    </w:p>
    <w:bookmarkEnd w:id="20"/>
    <w:bookmarkEnd w:id="21"/>
    <w:bookmarkEnd w:id="22"/>
    <w:p w14:paraId="69807F85">
      <w:pPr>
        <w:pStyle w:val="33"/>
        <w:spacing w:before="312" w:beforeLines="100" w:after="312" w:afterLines="100"/>
        <w:outlineLvl w:val="0"/>
        <w:rPr>
          <w:rFonts w:ascii="黑体" w:hAnsi="黑体" w:eastAsia="黑体"/>
          <w:highlight w:val="none"/>
        </w:rPr>
      </w:pPr>
      <w:bookmarkStart w:id="23" w:name="_Toc93859466"/>
      <w:bookmarkStart w:id="24" w:name="_Toc157681479"/>
      <w:bookmarkStart w:id="25" w:name="_Toc93859384"/>
      <w:bookmarkStart w:id="26" w:name="_Toc22390"/>
      <w:r>
        <w:rPr>
          <w:rFonts w:ascii="黑体" w:hAnsi="黑体" w:eastAsia="黑体"/>
          <w:highlight w:val="none"/>
        </w:rPr>
        <w:t>4</w:t>
      </w:r>
      <w:r>
        <w:rPr>
          <w:rFonts w:hint="eastAsia" w:ascii="黑体" w:hAnsi="黑体" w:eastAsia="黑体"/>
          <w:highlight w:val="none"/>
        </w:rPr>
        <w:t xml:space="preserve"> </w:t>
      </w:r>
      <w:bookmarkEnd w:id="23"/>
      <w:bookmarkEnd w:id="24"/>
      <w:bookmarkEnd w:id="25"/>
      <w:bookmarkStart w:id="27" w:name="_Toc13599"/>
      <w:r>
        <w:rPr>
          <w:rFonts w:hint="eastAsia" w:ascii="黑体" w:hAnsi="黑体" w:eastAsia="黑体"/>
          <w:highlight w:val="none"/>
        </w:rPr>
        <w:t>组分与材料</w:t>
      </w:r>
      <w:bookmarkEnd w:id="26"/>
      <w:bookmarkEnd w:id="27"/>
    </w:p>
    <w:p w14:paraId="72BFF668">
      <w:pPr>
        <w:pStyle w:val="33"/>
        <w:outlineLvl w:val="1"/>
        <w:rPr>
          <w:rFonts w:hint="eastAsia" w:ascii="黑体" w:hAnsi="黑体" w:eastAsia="黑体" w:cs="Times New Roman"/>
          <w:highlight w:val="none"/>
          <w:lang w:val="en-US" w:eastAsia="zh-CN"/>
        </w:rPr>
      </w:pPr>
      <w:bookmarkStart w:id="28" w:name="_Toc157681480"/>
      <w:bookmarkStart w:id="29" w:name="_Toc93859467"/>
      <w:r>
        <w:rPr>
          <w:rFonts w:ascii="黑体" w:hAnsi="黑体" w:eastAsia="黑体"/>
          <w:highlight w:val="none"/>
        </w:rPr>
        <w:t>4</w:t>
      </w:r>
      <w:r>
        <w:rPr>
          <w:rFonts w:hint="eastAsia" w:ascii="黑体" w:hAnsi="黑体" w:eastAsia="黑体"/>
          <w:highlight w:val="none"/>
        </w:rPr>
        <w:t xml:space="preserve">.1 </w:t>
      </w:r>
      <w:r>
        <w:rPr>
          <w:rFonts w:hint="eastAsia" w:ascii="黑体" w:hAnsi="黑体" w:eastAsia="黑体" w:cs="Times New Roman"/>
          <w:highlight w:val="none"/>
        </w:rPr>
        <w:t>粉煤灰</w:t>
      </w:r>
      <w:r>
        <w:rPr>
          <w:rFonts w:hint="eastAsia" w:ascii="黑体" w:hAnsi="黑体" w:eastAsia="黑体" w:cs="Times New Roman"/>
          <w:highlight w:val="none"/>
          <w:lang w:val="en-US" w:eastAsia="zh-CN"/>
        </w:rPr>
        <w:t>原灰</w:t>
      </w:r>
    </w:p>
    <w:p w14:paraId="4969E5E7">
      <w:pPr>
        <w:spacing w:line="400" w:lineRule="exact"/>
        <w:ind w:firstLine="420" w:firstLineChars="200"/>
        <w:jc w:val="left"/>
        <w:rPr>
          <w:highlight w:val="none"/>
        </w:rPr>
      </w:pPr>
      <w:r>
        <w:rPr>
          <w:rFonts w:hint="eastAsia" w:ascii="Times New Roman" w:hAnsi="宋体" w:eastAsia="宋体" w:cs="Times New Roman"/>
          <w:szCs w:val="21"/>
          <w:highlight w:val="none"/>
        </w:rPr>
        <w:t>粉煤灰原灰除细度外，其他指标符合GB/T 1596规定。</w:t>
      </w:r>
    </w:p>
    <w:p w14:paraId="6D9F72D5">
      <w:pPr>
        <w:pStyle w:val="33"/>
        <w:outlineLvl w:val="1"/>
        <w:rPr>
          <w:rFonts w:hint="eastAsia" w:ascii="黑体" w:hAnsi="黑体" w:eastAsia="黑体" w:cs="Times New Roman"/>
          <w:highlight w:val="none"/>
          <w:lang w:val="en-US" w:eastAsia="zh-CN"/>
        </w:rPr>
      </w:pPr>
      <w:r>
        <w:rPr>
          <w:rFonts w:ascii="黑体" w:hAnsi="黑体" w:eastAsia="黑体"/>
          <w:highlight w:val="none"/>
        </w:rPr>
        <w:t>4</w:t>
      </w:r>
      <w:r>
        <w:rPr>
          <w:rFonts w:hint="eastAsia" w:ascii="黑体" w:hAnsi="黑体" w:eastAsia="黑体"/>
          <w:highlight w:val="none"/>
        </w:rPr>
        <w:t>.</w:t>
      </w:r>
      <w:r>
        <w:rPr>
          <w:rFonts w:hint="eastAsia" w:ascii="黑体" w:hAnsi="黑体" w:eastAsia="黑体"/>
          <w:highlight w:val="none"/>
          <w:lang w:val="en-US" w:eastAsia="zh-CN"/>
        </w:rPr>
        <w:t>2</w:t>
      </w:r>
      <w:r>
        <w:rPr>
          <w:rFonts w:hint="eastAsia" w:ascii="黑体" w:hAnsi="黑体" w:eastAsia="黑体"/>
          <w:highlight w:val="none"/>
        </w:rPr>
        <w:t xml:space="preserve"> </w:t>
      </w:r>
      <w:r>
        <w:rPr>
          <w:rFonts w:hint="eastAsia" w:ascii="黑体" w:hAnsi="黑体" w:eastAsia="黑体" w:cs="Times New Roman"/>
          <w:highlight w:val="none"/>
          <w:lang w:val="en-US" w:eastAsia="zh-CN"/>
        </w:rPr>
        <w:t>分类</w:t>
      </w:r>
    </w:p>
    <w:p w14:paraId="3DC23326">
      <w:pPr>
        <w:spacing w:line="400" w:lineRule="exact"/>
        <w:ind w:firstLine="420" w:firstLineChars="200"/>
        <w:jc w:val="both"/>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根据燃煤品种分为F类</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w:t>
      </w:r>
      <w:r>
        <w:rPr>
          <w:rFonts w:hint="eastAsia" w:ascii="Times New Roman" w:hAnsi="宋体" w:eastAsia="宋体" w:cs="Times New Roman"/>
          <w:szCs w:val="21"/>
          <w:highlight w:val="none"/>
          <w:lang w:eastAsia="zh-CN"/>
        </w:rPr>
        <w:t>（</w:t>
      </w:r>
      <w:r>
        <w:rPr>
          <w:rFonts w:hint="eastAsia" w:ascii="Times New Roman" w:hAnsi="宋体" w:eastAsia="宋体" w:cs="Times New Roman"/>
          <w:szCs w:val="21"/>
          <w:highlight w:val="none"/>
        </w:rPr>
        <w:t>由无烟煤或烟煤煅烧收集</w:t>
      </w:r>
      <w:r>
        <w:rPr>
          <w:rFonts w:hint="eastAsia" w:ascii="Times New Roman" w:hAnsi="宋体" w:eastAsia="宋体" w:cs="Times New Roman"/>
          <w:szCs w:val="21"/>
          <w:highlight w:val="none"/>
          <w:lang w:val="en-US" w:eastAsia="zh-CN"/>
        </w:rPr>
        <w:t>经研磨整形</w:t>
      </w:r>
      <w:r>
        <w:rPr>
          <w:rFonts w:hint="eastAsia" w:ascii="Times New Roman" w:hAnsi="宋体" w:eastAsia="宋体" w:cs="Times New Roman"/>
          <w:szCs w:val="21"/>
          <w:highlight w:val="none"/>
        </w:rPr>
        <w:t>的粉煤灰</w:t>
      </w:r>
      <w:r>
        <w:rPr>
          <w:rFonts w:hint="eastAsia" w:ascii="Times New Roman" w:hAnsi="宋体" w:eastAsia="宋体" w:cs="Times New Roman"/>
          <w:szCs w:val="21"/>
          <w:highlight w:val="none"/>
          <w:lang w:eastAsia="zh-CN"/>
        </w:rPr>
        <w:t>）</w:t>
      </w:r>
      <w:r>
        <w:rPr>
          <w:rFonts w:hint="eastAsia" w:ascii="Times New Roman" w:hAnsi="宋体" w:eastAsia="宋体" w:cs="Times New Roman"/>
          <w:szCs w:val="21"/>
          <w:highlight w:val="none"/>
        </w:rPr>
        <w:t>和C类</w:t>
      </w: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w:t>
      </w:r>
      <w:r>
        <w:rPr>
          <w:rFonts w:hint="eastAsia" w:ascii="Times New Roman" w:hAnsi="宋体" w:eastAsia="宋体" w:cs="Times New Roman"/>
          <w:szCs w:val="21"/>
          <w:highlight w:val="none"/>
          <w:lang w:eastAsia="zh-CN"/>
        </w:rPr>
        <w:t>（</w:t>
      </w:r>
      <w:r>
        <w:rPr>
          <w:rFonts w:hint="eastAsia" w:ascii="Times New Roman" w:hAnsi="宋体" w:eastAsia="宋体" w:cs="Times New Roman"/>
          <w:szCs w:val="21"/>
          <w:highlight w:val="none"/>
        </w:rPr>
        <w:t>由褐煤或次烟煤煅烧收集</w:t>
      </w:r>
      <w:r>
        <w:rPr>
          <w:rFonts w:hint="eastAsia" w:ascii="Times New Roman" w:hAnsi="宋体" w:eastAsia="宋体" w:cs="Times New Roman"/>
          <w:szCs w:val="21"/>
          <w:highlight w:val="none"/>
          <w:lang w:val="en-US" w:eastAsia="zh-CN"/>
        </w:rPr>
        <w:t>经研磨整形</w:t>
      </w:r>
      <w:r>
        <w:rPr>
          <w:rFonts w:hint="eastAsia" w:ascii="Times New Roman" w:hAnsi="宋体" w:eastAsia="宋体" w:cs="Times New Roman"/>
          <w:szCs w:val="21"/>
          <w:highlight w:val="none"/>
        </w:rPr>
        <w:t>的粉煤灰，氧化钙含量一般大于或等于10%</w:t>
      </w:r>
      <w:r>
        <w:rPr>
          <w:rFonts w:hint="eastAsia" w:ascii="Times New Roman" w:hAnsi="宋体" w:eastAsia="宋体" w:cs="Times New Roman"/>
          <w:szCs w:val="21"/>
          <w:highlight w:val="none"/>
          <w:lang w:eastAsia="zh-CN"/>
        </w:rPr>
        <w:t>）</w:t>
      </w:r>
      <w:r>
        <w:rPr>
          <w:rFonts w:hint="eastAsia" w:ascii="Times New Roman" w:hAnsi="宋体" w:eastAsia="宋体" w:cs="Times New Roman"/>
          <w:szCs w:val="21"/>
          <w:highlight w:val="none"/>
        </w:rPr>
        <w:t>。</w:t>
      </w:r>
    </w:p>
    <w:bookmarkEnd w:id="28"/>
    <w:bookmarkEnd w:id="29"/>
    <w:p w14:paraId="035C1323">
      <w:pPr>
        <w:pStyle w:val="33"/>
        <w:spacing w:before="312" w:beforeLines="100" w:after="312" w:afterLines="100"/>
        <w:outlineLvl w:val="0"/>
        <w:rPr>
          <w:rFonts w:hint="default" w:ascii="黑体" w:hAnsi="黑体" w:eastAsia="黑体"/>
          <w:highlight w:val="none"/>
          <w:lang w:val="en-US" w:eastAsia="zh-CN"/>
        </w:rPr>
      </w:pPr>
      <w:bookmarkStart w:id="30" w:name="_Toc93859385"/>
      <w:bookmarkStart w:id="31" w:name="_Toc93859469"/>
      <w:bookmarkStart w:id="32" w:name="_Toc157681483"/>
      <w:bookmarkStart w:id="33" w:name="_Toc30069"/>
      <w:bookmarkStart w:id="34" w:name="_Toc157681481"/>
      <w:bookmarkStart w:id="35" w:name="_Toc93859468"/>
      <w:r>
        <w:rPr>
          <w:rFonts w:ascii="黑体" w:hAnsi="黑体" w:eastAsia="黑体"/>
          <w:highlight w:val="none"/>
        </w:rPr>
        <w:t xml:space="preserve">5 </w:t>
      </w:r>
      <w:bookmarkEnd w:id="30"/>
      <w:bookmarkEnd w:id="31"/>
      <w:bookmarkEnd w:id="32"/>
      <w:r>
        <w:rPr>
          <w:rFonts w:hint="default" w:ascii="黑体" w:hAnsi="黑体" w:eastAsia="黑体"/>
          <w:highlight w:val="none"/>
          <w:lang w:val="en-US" w:eastAsia="zh-CN"/>
        </w:rPr>
        <w:t>技术要求</w:t>
      </w:r>
      <w:bookmarkEnd w:id="33"/>
    </w:p>
    <w:p w14:paraId="28F81FB2">
      <w:pPr>
        <w:pStyle w:val="33"/>
        <w:outlineLvl w:val="1"/>
        <w:rPr>
          <w:rFonts w:hint="eastAsia" w:ascii="黑体" w:hAnsi="黑体" w:eastAsia="黑体"/>
          <w:highlight w:val="none"/>
        </w:rPr>
      </w:pPr>
      <w:r>
        <w:rPr>
          <w:rFonts w:hint="eastAsia" w:ascii="黑体" w:hAnsi="黑体" w:eastAsia="黑体"/>
          <w:highlight w:val="none"/>
          <w:lang w:val="en-US" w:eastAsia="zh-CN"/>
        </w:rPr>
        <w:t>5</w:t>
      </w:r>
      <w:r>
        <w:rPr>
          <w:rFonts w:hint="eastAsia" w:ascii="黑体" w:hAnsi="黑体" w:eastAsia="黑体"/>
          <w:highlight w:val="none"/>
        </w:rPr>
        <w:t>.</w:t>
      </w:r>
      <w:r>
        <w:rPr>
          <w:rFonts w:hint="eastAsia" w:ascii="黑体" w:hAnsi="黑体" w:eastAsia="黑体"/>
          <w:highlight w:val="none"/>
          <w:lang w:val="en-US" w:eastAsia="zh-CN"/>
        </w:rPr>
        <w:t>1</w:t>
      </w:r>
      <w:r>
        <w:rPr>
          <w:rFonts w:hint="eastAsia" w:ascii="黑体" w:hAnsi="黑体" w:eastAsia="黑体"/>
          <w:highlight w:val="none"/>
        </w:rPr>
        <w:t xml:space="preserve"> </w:t>
      </w:r>
      <w:bookmarkEnd w:id="34"/>
      <w:bookmarkStart w:id="36" w:name="_Toc79056807"/>
      <w:r>
        <w:rPr>
          <w:rFonts w:hint="eastAsia" w:ascii="黑体" w:hAnsi="黑体" w:eastAsia="黑体"/>
          <w:highlight w:val="none"/>
        </w:rPr>
        <w:t>理化性能要求</w:t>
      </w:r>
      <w:bookmarkEnd w:id="36"/>
    </w:p>
    <w:p w14:paraId="3B6BC256">
      <w:pPr>
        <w:spacing w:line="400" w:lineRule="exact"/>
        <w:ind w:firstLine="420" w:firstLineChars="20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lang w:val="en-US" w:eastAsia="zh-CN"/>
        </w:rPr>
        <w:t>物理改性</w:t>
      </w:r>
      <w:r>
        <w:rPr>
          <w:rFonts w:hint="eastAsia" w:ascii="Times New Roman" w:hAnsi="宋体" w:eastAsia="宋体" w:cs="Times New Roman"/>
          <w:szCs w:val="21"/>
          <w:highlight w:val="none"/>
        </w:rPr>
        <w:t>粉煤灰</w:t>
      </w:r>
      <w:r>
        <w:rPr>
          <w:rFonts w:hint="eastAsia" w:ascii="Times New Roman" w:hAnsi="宋体" w:eastAsia="宋体" w:cs="Times New Roman"/>
          <w:szCs w:val="21"/>
          <w:highlight w:val="none"/>
          <w:lang w:val="en-US" w:eastAsia="zh-CN"/>
        </w:rPr>
        <w:t>的理化性能</w:t>
      </w:r>
      <w:r>
        <w:rPr>
          <w:rFonts w:hint="eastAsia" w:ascii="Times New Roman" w:hAnsi="宋体" w:eastAsia="宋体" w:cs="Times New Roman"/>
          <w:szCs w:val="21"/>
          <w:highlight w:val="none"/>
        </w:rPr>
        <w:t>应符合表1中的规定。</w:t>
      </w:r>
    </w:p>
    <w:p w14:paraId="75DEC05E">
      <w:pPr>
        <w:tabs>
          <w:tab w:val="left" w:pos="3450"/>
          <w:tab w:val="center" w:pos="5007"/>
        </w:tabs>
        <w:jc w:val="center"/>
        <w:rPr>
          <w:rFonts w:hint="eastAsia" w:ascii="黑体" w:hAnsi="黑体" w:eastAsia="黑体" w:cs="等线"/>
          <w:b/>
          <w:highlight w:val="none"/>
        </w:rPr>
      </w:pPr>
      <w:r>
        <w:rPr>
          <w:rFonts w:hint="eastAsia" w:ascii="黑体" w:hAnsi="黑体" w:eastAsia="黑体" w:cs="等线"/>
          <w:b/>
          <w:highlight w:val="none"/>
        </w:rPr>
        <w:t xml:space="preserve">表1 </w:t>
      </w:r>
      <w:r>
        <w:rPr>
          <w:rFonts w:hint="eastAsia" w:ascii="黑体" w:hAnsi="黑体" w:eastAsia="黑体" w:cs="等线"/>
          <w:b/>
          <w:highlight w:val="none"/>
          <w:lang w:val="en-US" w:eastAsia="zh-CN"/>
        </w:rPr>
        <w:t xml:space="preserve"> 物理改性</w:t>
      </w:r>
      <w:r>
        <w:rPr>
          <w:rFonts w:hint="eastAsia" w:ascii="黑体" w:hAnsi="黑体" w:eastAsia="黑体" w:cs="等线"/>
          <w:b/>
          <w:highlight w:val="none"/>
        </w:rPr>
        <w:t>粉煤灰的</w:t>
      </w:r>
      <w:r>
        <w:rPr>
          <w:rFonts w:hint="eastAsia" w:eastAsia="黑体" w:cs="等线"/>
          <w:b/>
          <w:highlight w:val="none"/>
          <w:lang w:val="en-US" w:eastAsia="zh-CN"/>
        </w:rPr>
        <w:t>理化性能</w:t>
      </w:r>
      <w:r>
        <w:rPr>
          <w:rFonts w:hint="eastAsia" w:ascii="黑体" w:hAnsi="黑体" w:eastAsia="黑体" w:cs="等线"/>
          <w:b/>
          <w:highlight w:val="none"/>
        </w:rPr>
        <w:t>要求</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5"/>
        <w:gridCol w:w="1711"/>
        <w:gridCol w:w="2490"/>
        <w:gridCol w:w="2494"/>
      </w:tblGrid>
      <w:tr w14:paraId="64A1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536" w:type="pct"/>
            <w:gridSpan w:val="3"/>
            <w:tcBorders>
              <w:top w:val="single" w:color="auto" w:sz="4" w:space="0"/>
              <w:left w:val="single" w:color="auto" w:sz="4" w:space="0"/>
              <w:bottom w:val="single" w:color="auto" w:sz="4" w:space="0"/>
              <w:right w:val="single" w:color="auto" w:sz="4" w:space="0"/>
            </w:tcBorders>
            <w:noWrap w:val="0"/>
            <w:vAlign w:val="center"/>
          </w:tcPr>
          <w:p w14:paraId="0B712149">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项目</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6F9ADC62">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理化性能要求</w:t>
            </w:r>
          </w:p>
        </w:tc>
      </w:tr>
      <w:tr w14:paraId="590A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6F347502">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细度（45</w:t>
            </w:r>
            <w:r>
              <w:rPr>
                <w:rFonts w:hint="default" w:ascii="Times New Roman" w:hAnsi="Times New Roman" w:eastAsia="宋体" w:cs="Times New Roman"/>
                <w:sz w:val="18"/>
                <w:szCs w:val="18"/>
                <w:highlight w:val="none"/>
              </w:rPr>
              <w:t>μ</w:t>
            </w:r>
            <w:r>
              <w:rPr>
                <w:rFonts w:hint="eastAsia" w:ascii="Times New Roman" w:hAnsi="Times New Roman" w:eastAsia="宋体" w:cs="宋体"/>
                <w:sz w:val="18"/>
                <w:szCs w:val="18"/>
                <w:highlight w:val="none"/>
              </w:rPr>
              <w:t>m方孔筛筛余）/%</w:t>
            </w:r>
          </w:p>
        </w:tc>
        <w:tc>
          <w:tcPr>
            <w:tcW w:w="1461" w:type="pct"/>
            <w:tcBorders>
              <w:top w:val="single" w:color="auto" w:sz="4" w:space="0"/>
              <w:left w:val="single" w:color="auto" w:sz="4" w:space="0"/>
              <w:bottom w:val="single" w:color="auto" w:sz="4" w:space="0"/>
              <w:right w:val="single" w:color="auto" w:sz="4" w:space="0"/>
            </w:tcBorders>
            <w:noWrap w:val="0"/>
            <w:vAlign w:val="center"/>
          </w:tcPr>
          <w:p w14:paraId="349A44CE">
            <w:pPr>
              <w:jc w:val="center"/>
              <w:rPr>
                <w:rFonts w:hint="default"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5A87BC74">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≤12.0</w:t>
            </w:r>
          </w:p>
        </w:tc>
      </w:tr>
      <w:tr w14:paraId="6473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4799C12F">
            <w:pPr>
              <w:jc w:val="center"/>
              <w:rPr>
                <w:highlight w:val="none"/>
              </w:rPr>
            </w:pPr>
          </w:p>
        </w:tc>
        <w:tc>
          <w:tcPr>
            <w:tcW w:w="1461" w:type="pct"/>
            <w:tcBorders>
              <w:top w:val="single" w:color="auto" w:sz="4" w:space="0"/>
              <w:left w:val="single" w:color="auto" w:sz="4" w:space="0"/>
              <w:bottom w:val="single" w:color="auto" w:sz="4" w:space="0"/>
              <w:right w:val="single" w:color="auto" w:sz="4" w:space="0"/>
            </w:tcBorders>
            <w:noWrap w:val="0"/>
            <w:vAlign w:val="center"/>
          </w:tcPr>
          <w:p w14:paraId="64E3B638">
            <w:pPr>
              <w:jc w:val="center"/>
              <w:rPr>
                <w:rFonts w:hint="eastAsia"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7614AFB7">
            <w:pPr>
              <w:jc w:val="center"/>
              <w:rPr>
                <w:rFonts w:hint="eastAsia" w:ascii="Times New Roman" w:hAnsi="Times New Roman" w:eastAsia="宋体" w:cs="宋体"/>
                <w:sz w:val="18"/>
                <w:szCs w:val="18"/>
                <w:highlight w:val="none"/>
              </w:rPr>
            </w:pPr>
          </w:p>
        </w:tc>
      </w:tr>
      <w:tr w14:paraId="70BE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60BBC4D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玻璃微珠完好率/%</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C28BFFC">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05A5C2D8">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≥80</w:t>
            </w:r>
          </w:p>
        </w:tc>
      </w:tr>
      <w:tr w14:paraId="5A8C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692BCC76">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11DEFF97">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5AE84A79">
            <w:pPr>
              <w:jc w:val="center"/>
              <w:rPr>
                <w:rFonts w:hint="eastAsia" w:ascii="Times New Roman" w:hAnsi="Times New Roman" w:eastAsia="宋体" w:cs="宋体"/>
                <w:sz w:val="18"/>
                <w:szCs w:val="18"/>
                <w:highlight w:val="none"/>
              </w:rPr>
            </w:pPr>
          </w:p>
        </w:tc>
      </w:tr>
      <w:tr w14:paraId="6D5C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restart"/>
            <w:tcBorders>
              <w:top w:val="single" w:color="auto" w:sz="4" w:space="0"/>
              <w:left w:val="single" w:color="auto" w:sz="4" w:space="0"/>
              <w:right w:val="single" w:color="auto" w:sz="4" w:space="0"/>
            </w:tcBorders>
            <w:noWrap w:val="0"/>
            <w:vAlign w:val="center"/>
          </w:tcPr>
          <w:p w14:paraId="0C940C40">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颗粒形貌</w:t>
            </w:r>
          </w:p>
        </w:tc>
        <w:tc>
          <w:tcPr>
            <w:tcW w:w="1004" w:type="pct"/>
            <w:vMerge w:val="restart"/>
            <w:tcBorders>
              <w:top w:val="single" w:color="auto" w:sz="4" w:space="0"/>
              <w:left w:val="single" w:color="auto" w:sz="4" w:space="0"/>
              <w:right w:val="single" w:color="auto" w:sz="4" w:space="0"/>
            </w:tcBorders>
            <w:noWrap w:val="0"/>
            <w:vAlign w:val="center"/>
          </w:tcPr>
          <w:p w14:paraId="5D40F1B0">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圆形度</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03734E8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3956127D">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≥0.85</w:t>
            </w:r>
          </w:p>
        </w:tc>
      </w:tr>
      <w:tr w14:paraId="3D42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left w:val="single" w:color="auto" w:sz="4" w:space="0"/>
              <w:bottom w:val="single" w:color="auto" w:sz="4" w:space="0"/>
              <w:right w:val="single" w:color="auto" w:sz="4" w:space="0"/>
            </w:tcBorders>
            <w:noWrap w:val="0"/>
            <w:vAlign w:val="center"/>
          </w:tcPr>
          <w:p w14:paraId="1557684D">
            <w:pPr>
              <w:jc w:val="center"/>
              <w:rPr>
                <w:highlight w:val="none"/>
              </w:rPr>
            </w:pPr>
          </w:p>
        </w:tc>
        <w:tc>
          <w:tcPr>
            <w:tcW w:w="1004" w:type="pct"/>
            <w:vMerge w:val="continue"/>
            <w:tcBorders>
              <w:left w:val="single" w:color="auto" w:sz="4" w:space="0"/>
              <w:bottom w:val="single" w:color="auto" w:sz="4" w:space="0"/>
              <w:right w:val="single" w:color="auto" w:sz="4" w:space="0"/>
            </w:tcBorders>
            <w:noWrap w:val="0"/>
            <w:vAlign w:val="center"/>
          </w:tcPr>
          <w:p w14:paraId="30CF782F">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607BBD7">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5C45A733">
            <w:pPr>
              <w:jc w:val="center"/>
              <w:rPr>
                <w:rFonts w:hint="eastAsia" w:ascii="Times New Roman" w:hAnsi="Times New Roman" w:eastAsia="宋体" w:cs="宋体"/>
                <w:sz w:val="18"/>
                <w:szCs w:val="18"/>
                <w:highlight w:val="none"/>
              </w:rPr>
            </w:pPr>
          </w:p>
        </w:tc>
      </w:tr>
      <w:tr w14:paraId="177E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top w:val="single" w:color="auto" w:sz="4" w:space="0"/>
              <w:left w:val="single" w:color="auto" w:sz="4" w:space="0"/>
              <w:bottom w:val="single" w:color="auto" w:sz="4" w:space="0"/>
              <w:right w:val="single" w:color="auto" w:sz="4" w:space="0"/>
            </w:tcBorders>
            <w:noWrap w:val="0"/>
            <w:vAlign w:val="center"/>
          </w:tcPr>
          <w:p w14:paraId="3DF89C4F">
            <w:pPr>
              <w:jc w:val="center"/>
              <w:rPr>
                <w:rFonts w:hint="eastAsia" w:ascii="Times New Roman" w:hAnsi="Times New Roman" w:eastAsia="宋体" w:cs="宋体"/>
                <w:sz w:val="18"/>
                <w:szCs w:val="18"/>
                <w:highlight w:val="none"/>
              </w:rPr>
            </w:pPr>
          </w:p>
        </w:tc>
        <w:tc>
          <w:tcPr>
            <w:tcW w:w="1004" w:type="pct"/>
            <w:vMerge w:val="restart"/>
            <w:tcBorders>
              <w:top w:val="single" w:color="auto" w:sz="4" w:space="0"/>
              <w:left w:val="single" w:color="auto" w:sz="4" w:space="0"/>
              <w:right w:val="single" w:color="auto" w:sz="4" w:space="0"/>
            </w:tcBorders>
            <w:noWrap w:val="0"/>
            <w:vAlign w:val="center"/>
          </w:tcPr>
          <w:p w14:paraId="347F4884">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长径比</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3564E871">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1E400BD0">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≤1.30</w:t>
            </w:r>
          </w:p>
        </w:tc>
      </w:tr>
      <w:tr w14:paraId="62E2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left w:val="single" w:color="auto" w:sz="4" w:space="0"/>
              <w:bottom w:val="single" w:color="auto" w:sz="4" w:space="0"/>
              <w:right w:val="single" w:color="auto" w:sz="4" w:space="0"/>
            </w:tcBorders>
            <w:noWrap w:val="0"/>
            <w:vAlign w:val="center"/>
          </w:tcPr>
          <w:p w14:paraId="55DA5097">
            <w:pPr>
              <w:jc w:val="center"/>
              <w:rPr>
                <w:highlight w:val="none"/>
              </w:rPr>
            </w:pPr>
          </w:p>
        </w:tc>
        <w:tc>
          <w:tcPr>
            <w:tcW w:w="1004" w:type="pct"/>
            <w:vMerge w:val="continue"/>
            <w:tcBorders>
              <w:left w:val="single" w:color="auto" w:sz="4" w:space="0"/>
              <w:bottom w:val="single" w:color="auto" w:sz="4" w:space="0"/>
              <w:right w:val="single" w:color="auto" w:sz="4" w:space="0"/>
            </w:tcBorders>
            <w:noWrap w:val="0"/>
            <w:vAlign w:val="center"/>
          </w:tcPr>
          <w:p w14:paraId="23751500">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CFD02A9">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56DEF423">
            <w:pPr>
              <w:jc w:val="center"/>
              <w:rPr>
                <w:rFonts w:hint="eastAsia" w:ascii="Times New Roman" w:hAnsi="Times New Roman" w:eastAsia="宋体" w:cs="宋体"/>
                <w:sz w:val="18"/>
                <w:szCs w:val="18"/>
                <w:highlight w:val="none"/>
              </w:rPr>
            </w:pPr>
          </w:p>
        </w:tc>
      </w:tr>
      <w:tr w14:paraId="7DFB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restart"/>
            <w:tcBorders>
              <w:top w:val="single" w:color="auto" w:sz="4" w:space="0"/>
              <w:left w:val="single" w:color="auto" w:sz="4" w:space="0"/>
              <w:right w:val="single" w:color="auto" w:sz="4" w:space="0"/>
            </w:tcBorders>
            <w:noWrap w:val="0"/>
            <w:vAlign w:val="center"/>
          </w:tcPr>
          <w:p w14:paraId="65CA5296">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粒径分布</w:t>
            </w:r>
          </w:p>
        </w:tc>
        <w:tc>
          <w:tcPr>
            <w:tcW w:w="1004" w:type="pct"/>
            <w:vMerge w:val="restart"/>
            <w:tcBorders>
              <w:top w:val="single" w:color="auto" w:sz="4" w:space="0"/>
              <w:left w:val="single" w:color="auto" w:sz="4" w:space="0"/>
              <w:right w:val="single" w:color="auto" w:sz="4" w:space="0"/>
            </w:tcBorders>
            <w:noWrap w:val="0"/>
            <w:vAlign w:val="center"/>
          </w:tcPr>
          <w:p w14:paraId="7811DBF4">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D50/</w:t>
            </w:r>
            <w:r>
              <w:rPr>
                <w:rFonts w:hint="default" w:ascii="Times New Roman" w:hAnsi="Times New Roman" w:eastAsia="宋体" w:cs="Times New Roman"/>
                <w:sz w:val="18"/>
                <w:szCs w:val="18"/>
                <w:highlight w:val="none"/>
              </w:rPr>
              <w:t>μ</w:t>
            </w:r>
            <w:r>
              <w:rPr>
                <w:rFonts w:hint="eastAsia" w:ascii="Times New Roman" w:hAnsi="Times New Roman" w:eastAsia="宋体" w:cs="宋体"/>
                <w:sz w:val="18"/>
                <w:szCs w:val="18"/>
                <w:highlight w:val="none"/>
              </w:rPr>
              <w:t>m</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7E562B1">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781664D3">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≤15.00</w:t>
            </w:r>
          </w:p>
        </w:tc>
      </w:tr>
      <w:tr w14:paraId="6F5C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left w:val="single" w:color="auto" w:sz="4" w:space="0"/>
              <w:bottom w:val="single" w:color="auto" w:sz="4" w:space="0"/>
              <w:right w:val="single" w:color="auto" w:sz="4" w:space="0"/>
            </w:tcBorders>
            <w:noWrap w:val="0"/>
            <w:vAlign w:val="center"/>
          </w:tcPr>
          <w:p w14:paraId="4109FF59">
            <w:pPr>
              <w:jc w:val="center"/>
              <w:rPr>
                <w:highlight w:val="none"/>
              </w:rPr>
            </w:pPr>
          </w:p>
        </w:tc>
        <w:tc>
          <w:tcPr>
            <w:tcW w:w="1004" w:type="pct"/>
            <w:vMerge w:val="continue"/>
            <w:tcBorders>
              <w:left w:val="single" w:color="auto" w:sz="4" w:space="0"/>
              <w:bottom w:val="single" w:color="auto" w:sz="4" w:space="0"/>
              <w:right w:val="single" w:color="auto" w:sz="4" w:space="0"/>
            </w:tcBorders>
            <w:noWrap w:val="0"/>
            <w:vAlign w:val="center"/>
          </w:tcPr>
          <w:p w14:paraId="41101476">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148AEF95">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23F821CD">
            <w:pPr>
              <w:jc w:val="center"/>
              <w:rPr>
                <w:rFonts w:hint="eastAsia" w:ascii="Times New Roman" w:hAnsi="Times New Roman" w:eastAsia="宋体" w:cs="宋体"/>
                <w:sz w:val="18"/>
                <w:szCs w:val="18"/>
                <w:highlight w:val="none"/>
              </w:rPr>
            </w:pPr>
          </w:p>
        </w:tc>
      </w:tr>
      <w:tr w14:paraId="3DF3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top w:val="single" w:color="auto" w:sz="4" w:space="0"/>
              <w:left w:val="single" w:color="auto" w:sz="4" w:space="0"/>
              <w:bottom w:val="single" w:color="auto" w:sz="4" w:space="0"/>
              <w:right w:val="single" w:color="auto" w:sz="4" w:space="0"/>
            </w:tcBorders>
            <w:noWrap w:val="0"/>
            <w:vAlign w:val="center"/>
          </w:tcPr>
          <w:p w14:paraId="702F1DEB">
            <w:pPr>
              <w:jc w:val="center"/>
              <w:rPr>
                <w:rFonts w:hint="eastAsia" w:ascii="Times New Roman" w:hAnsi="Times New Roman" w:eastAsia="宋体" w:cs="宋体"/>
                <w:sz w:val="18"/>
                <w:szCs w:val="18"/>
                <w:highlight w:val="none"/>
              </w:rPr>
            </w:pPr>
          </w:p>
        </w:tc>
        <w:tc>
          <w:tcPr>
            <w:tcW w:w="1004" w:type="pct"/>
            <w:vMerge w:val="restart"/>
            <w:tcBorders>
              <w:top w:val="single" w:color="auto" w:sz="4" w:space="0"/>
              <w:left w:val="single" w:color="auto" w:sz="4" w:space="0"/>
              <w:right w:val="single" w:color="auto" w:sz="4" w:space="0"/>
            </w:tcBorders>
            <w:noWrap w:val="0"/>
            <w:vAlign w:val="center"/>
          </w:tcPr>
          <w:p w14:paraId="0BAEC65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D90/</w:t>
            </w:r>
            <w:r>
              <w:rPr>
                <w:rFonts w:hint="default" w:ascii="Times New Roman" w:hAnsi="Times New Roman" w:eastAsia="宋体" w:cs="Times New Roman"/>
                <w:sz w:val="18"/>
                <w:szCs w:val="18"/>
                <w:highlight w:val="none"/>
              </w:rPr>
              <w:t>μ</w:t>
            </w:r>
            <w:r>
              <w:rPr>
                <w:rFonts w:hint="eastAsia" w:ascii="Times New Roman" w:hAnsi="Times New Roman" w:eastAsia="宋体" w:cs="宋体"/>
                <w:sz w:val="18"/>
                <w:szCs w:val="18"/>
                <w:highlight w:val="none"/>
              </w:rPr>
              <w:t>m</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28C4EA7">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0252AFDF">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≤45.00</w:t>
            </w:r>
          </w:p>
        </w:tc>
      </w:tr>
      <w:tr w14:paraId="1598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71" w:type="pct"/>
            <w:vMerge w:val="continue"/>
            <w:tcBorders>
              <w:left w:val="single" w:color="auto" w:sz="4" w:space="0"/>
              <w:bottom w:val="single" w:color="auto" w:sz="4" w:space="0"/>
              <w:right w:val="single" w:color="auto" w:sz="4" w:space="0"/>
            </w:tcBorders>
            <w:noWrap w:val="0"/>
            <w:vAlign w:val="center"/>
          </w:tcPr>
          <w:p w14:paraId="4B41DA34">
            <w:pPr>
              <w:jc w:val="center"/>
              <w:rPr>
                <w:highlight w:val="none"/>
              </w:rPr>
            </w:pPr>
          </w:p>
        </w:tc>
        <w:tc>
          <w:tcPr>
            <w:tcW w:w="1004" w:type="pct"/>
            <w:vMerge w:val="continue"/>
            <w:tcBorders>
              <w:left w:val="single" w:color="auto" w:sz="4" w:space="0"/>
              <w:bottom w:val="single" w:color="auto" w:sz="4" w:space="0"/>
              <w:right w:val="single" w:color="auto" w:sz="4" w:space="0"/>
            </w:tcBorders>
            <w:noWrap w:val="0"/>
            <w:vAlign w:val="center"/>
          </w:tcPr>
          <w:p w14:paraId="1E263C38">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0814B625">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3FF51F82">
            <w:pPr>
              <w:jc w:val="center"/>
              <w:rPr>
                <w:rFonts w:hint="eastAsia" w:ascii="Times New Roman" w:hAnsi="Times New Roman" w:eastAsia="宋体" w:cs="宋体"/>
                <w:sz w:val="18"/>
                <w:szCs w:val="18"/>
                <w:highlight w:val="none"/>
              </w:rPr>
            </w:pPr>
          </w:p>
        </w:tc>
      </w:tr>
      <w:tr w14:paraId="1FD4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01DFD568">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铵离子含量/（mg/kg）</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6386B63">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71F9EB6A">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≤210</w:t>
            </w:r>
          </w:p>
        </w:tc>
      </w:tr>
      <w:tr w14:paraId="6CEE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47DB6E40">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33297E81">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76A1E1CD">
            <w:pPr>
              <w:jc w:val="center"/>
              <w:rPr>
                <w:rFonts w:hint="eastAsia" w:ascii="Times New Roman" w:hAnsi="Times New Roman" w:eastAsia="宋体" w:cs="宋体"/>
                <w:sz w:val="18"/>
                <w:szCs w:val="18"/>
                <w:highlight w:val="none"/>
              </w:rPr>
            </w:pPr>
          </w:p>
        </w:tc>
      </w:tr>
      <w:tr w14:paraId="4AD9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46F58563">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需水量比/%</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3603EDD">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47B3BF1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≤95</w:t>
            </w:r>
          </w:p>
        </w:tc>
      </w:tr>
      <w:tr w14:paraId="0268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2AA54F91">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7D94081">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10008F5F">
            <w:pPr>
              <w:jc w:val="center"/>
              <w:rPr>
                <w:rFonts w:hint="eastAsia" w:ascii="Times New Roman" w:hAnsi="Times New Roman" w:eastAsia="宋体" w:cs="宋体"/>
                <w:sz w:val="18"/>
                <w:szCs w:val="18"/>
                <w:highlight w:val="none"/>
              </w:rPr>
            </w:pPr>
          </w:p>
        </w:tc>
      </w:tr>
      <w:tr w14:paraId="1279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72CE49BC">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含水量/%</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521A8E9E">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165E7C66">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≤1.0</w:t>
            </w:r>
          </w:p>
        </w:tc>
      </w:tr>
      <w:tr w14:paraId="10BF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3AB25488">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0E61C168">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7BBD70F2">
            <w:pPr>
              <w:jc w:val="center"/>
              <w:rPr>
                <w:rFonts w:hint="eastAsia" w:ascii="Times New Roman" w:hAnsi="Times New Roman" w:eastAsia="宋体" w:cs="宋体"/>
                <w:sz w:val="18"/>
                <w:szCs w:val="18"/>
                <w:highlight w:val="none"/>
              </w:rPr>
            </w:pPr>
          </w:p>
        </w:tc>
      </w:tr>
      <w:tr w14:paraId="00BA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167FDDD7">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密度/(g/cm</w:t>
            </w:r>
            <w:r>
              <w:rPr>
                <w:rFonts w:hint="eastAsia" w:ascii="Times New Roman" w:hAnsi="Times New Roman" w:eastAsia="宋体" w:cs="宋体"/>
                <w:sz w:val="18"/>
                <w:szCs w:val="18"/>
                <w:highlight w:val="none"/>
                <w:vertAlign w:val="superscript"/>
              </w:rPr>
              <w:t>3</w:t>
            </w:r>
            <w:r>
              <w:rPr>
                <w:rFonts w:hint="eastAsia" w:ascii="Times New Roman" w:hAnsi="Times New Roman" w:eastAsia="宋体" w:cs="宋体"/>
                <w:sz w:val="18"/>
                <w:szCs w:val="18"/>
                <w:highlight w:val="none"/>
              </w:rPr>
              <w:t>)</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CD4DDDE">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755A7B39">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≤2.6</w:t>
            </w:r>
          </w:p>
        </w:tc>
      </w:tr>
      <w:tr w14:paraId="0349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713C18D6">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EB9797E">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6A7AD140">
            <w:pPr>
              <w:jc w:val="center"/>
              <w:rPr>
                <w:rFonts w:hint="eastAsia" w:ascii="Times New Roman" w:hAnsi="Times New Roman" w:eastAsia="宋体" w:cs="宋体"/>
                <w:sz w:val="18"/>
                <w:szCs w:val="18"/>
                <w:highlight w:val="none"/>
              </w:rPr>
            </w:pPr>
          </w:p>
        </w:tc>
      </w:tr>
      <w:tr w14:paraId="74BC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1F5EB6B9">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强度活性指数/%</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CF6CC6D">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53D1765E">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≥80.0</w:t>
            </w:r>
          </w:p>
        </w:tc>
      </w:tr>
      <w:tr w14:paraId="3434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42AC3B93">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4BCC2D7">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0EF205A4">
            <w:pPr>
              <w:jc w:val="center"/>
              <w:rPr>
                <w:rFonts w:hint="eastAsia" w:ascii="Times New Roman" w:hAnsi="Times New Roman" w:eastAsia="宋体" w:cs="宋体"/>
                <w:sz w:val="18"/>
                <w:szCs w:val="18"/>
                <w:highlight w:val="none"/>
              </w:rPr>
            </w:pPr>
          </w:p>
        </w:tc>
      </w:tr>
      <w:tr w14:paraId="1B39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66AA75F6">
            <w:pPr>
              <w:jc w:val="center"/>
              <w:rPr>
                <w:rFonts w:hint="default" w:ascii="Times New Roman" w:hAnsi="Times New Roman" w:eastAsia="宋体" w:cs="宋体"/>
                <w:sz w:val="18"/>
                <w:szCs w:val="18"/>
                <w:highlight w:val="none"/>
                <w:lang w:val="en-US" w:eastAsia="zh-CN"/>
              </w:rPr>
            </w:pPr>
            <w:bookmarkStart w:id="37" w:name="_Toc79056809"/>
            <w:r>
              <w:rPr>
                <w:rFonts w:hint="eastAsia" w:ascii="Times New Roman" w:hAnsi="Times New Roman" w:eastAsia="宋体" w:cs="宋体"/>
                <w:sz w:val="18"/>
                <w:szCs w:val="18"/>
                <w:highlight w:val="none"/>
                <w:lang w:val="en-US" w:eastAsia="zh-CN"/>
              </w:rPr>
              <w:t>烧失量（Loss）/%</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DC80368">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2C6D282C">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5</w:t>
            </w:r>
            <w:r>
              <w:rPr>
                <w:rFonts w:hint="eastAsia" w:ascii="Times New Roman" w:hAnsi="Times New Roman" w:eastAsia="宋体" w:cs="宋体"/>
                <w:sz w:val="18"/>
                <w:szCs w:val="18"/>
                <w:highlight w:val="none"/>
              </w:rPr>
              <w:t>.0</w:t>
            </w:r>
          </w:p>
        </w:tc>
      </w:tr>
      <w:tr w14:paraId="457B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786212B7">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1C26E7F0">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4714B95D">
            <w:pPr>
              <w:jc w:val="center"/>
              <w:rPr>
                <w:rFonts w:hint="eastAsia" w:ascii="Times New Roman" w:hAnsi="Times New Roman" w:eastAsia="宋体" w:cs="宋体"/>
                <w:sz w:val="18"/>
                <w:szCs w:val="18"/>
                <w:highlight w:val="none"/>
              </w:rPr>
            </w:pPr>
          </w:p>
        </w:tc>
      </w:tr>
      <w:tr w14:paraId="71DA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6AD70921">
            <w:pPr>
              <w:jc w:val="center"/>
              <w:rPr>
                <w:rFonts w:hint="default"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三氧化硫（SO</w:t>
            </w:r>
            <w:r>
              <w:rPr>
                <w:rFonts w:hint="eastAsia" w:ascii="Times New Roman" w:hAnsi="Times New Roman" w:eastAsia="宋体" w:cs="宋体"/>
                <w:sz w:val="18"/>
                <w:szCs w:val="18"/>
                <w:highlight w:val="none"/>
                <w:vertAlign w:val="subscript"/>
                <w:lang w:val="en-US" w:eastAsia="zh-CN"/>
              </w:rPr>
              <w:t>3</w:t>
            </w:r>
            <w:r>
              <w:rPr>
                <w:rFonts w:hint="eastAsia" w:ascii="Times New Roman" w:hAnsi="Times New Roman" w:eastAsia="宋体" w:cs="宋体"/>
                <w:sz w:val="18"/>
                <w:szCs w:val="18"/>
                <w:highlight w:val="none"/>
                <w:lang w:val="en-US" w:eastAsia="zh-CN"/>
              </w:rPr>
              <w:t>）质量分数/%</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18F7624">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vMerge w:val="restart"/>
            <w:tcBorders>
              <w:top w:val="single" w:color="auto" w:sz="4" w:space="0"/>
              <w:left w:val="single" w:color="auto" w:sz="4" w:space="0"/>
              <w:right w:val="single" w:color="auto" w:sz="4" w:space="0"/>
            </w:tcBorders>
            <w:noWrap w:val="0"/>
            <w:vAlign w:val="center"/>
          </w:tcPr>
          <w:p w14:paraId="586F155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3</w:t>
            </w:r>
            <w:r>
              <w:rPr>
                <w:rFonts w:hint="eastAsia" w:ascii="Times New Roman" w:hAnsi="Times New Roman" w:eastAsia="宋体" w:cs="宋体"/>
                <w:sz w:val="18"/>
                <w:szCs w:val="18"/>
                <w:highlight w:val="none"/>
              </w:rPr>
              <w:t>.0</w:t>
            </w:r>
          </w:p>
        </w:tc>
      </w:tr>
      <w:tr w14:paraId="26CF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19F9006F">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9CD3C6D">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vMerge w:val="continue"/>
            <w:tcBorders>
              <w:left w:val="single" w:color="auto" w:sz="4" w:space="0"/>
              <w:bottom w:val="single" w:color="auto" w:sz="4" w:space="0"/>
              <w:right w:val="single" w:color="auto" w:sz="4" w:space="0"/>
            </w:tcBorders>
            <w:noWrap w:val="0"/>
            <w:vAlign w:val="center"/>
          </w:tcPr>
          <w:p w14:paraId="14CDA387">
            <w:pPr>
              <w:jc w:val="center"/>
              <w:rPr>
                <w:rFonts w:hint="eastAsia" w:ascii="Times New Roman" w:hAnsi="Times New Roman" w:eastAsia="宋体" w:cs="宋体"/>
                <w:sz w:val="18"/>
                <w:szCs w:val="18"/>
                <w:highlight w:val="none"/>
              </w:rPr>
            </w:pPr>
          </w:p>
        </w:tc>
      </w:tr>
      <w:tr w14:paraId="4100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70FB00D6">
            <w:pPr>
              <w:jc w:val="center"/>
              <w:rPr>
                <w:rFonts w:hint="default"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游离氧化钙（f-CaO）质量分数/%</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7F5AFCB">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45F24C96">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≤1.0</w:t>
            </w:r>
          </w:p>
        </w:tc>
      </w:tr>
      <w:tr w14:paraId="2189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0E56B0D0">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2D704B3">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6195D983">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4</w:t>
            </w:r>
            <w:r>
              <w:rPr>
                <w:rFonts w:hint="eastAsia" w:ascii="Times New Roman" w:hAnsi="Times New Roman" w:eastAsia="宋体" w:cs="宋体"/>
                <w:sz w:val="18"/>
                <w:szCs w:val="18"/>
                <w:highlight w:val="none"/>
              </w:rPr>
              <w:t>.0</w:t>
            </w:r>
          </w:p>
        </w:tc>
      </w:tr>
      <w:tr w14:paraId="3E53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075" w:type="pct"/>
            <w:gridSpan w:val="2"/>
            <w:vMerge w:val="restart"/>
            <w:tcBorders>
              <w:top w:val="single" w:color="auto" w:sz="4" w:space="0"/>
              <w:left w:val="single" w:color="auto" w:sz="4" w:space="0"/>
              <w:right w:val="single" w:color="auto" w:sz="4" w:space="0"/>
            </w:tcBorders>
            <w:noWrap w:val="0"/>
            <w:vAlign w:val="center"/>
          </w:tcPr>
          <w:p w14:paraId="609D236F">
            <w:pPr>
              <w:jc w:val="center"/>
              <w:rPr>
                <w:rFonts w:hint="default"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二氧化硅（SiO</w:t>
            </w:r>
            <w:r>
              <w:rPr>
                <w:rFonts w:hint="eastAsia" w:ascii="Times New Roman" w:hAnsi="Times New Roman" w:eastAsia="宋体" w:cs="宋体"/>
                <w:sz w:val="18"/>
                <w:szCs w:val="18"/>
                <w:highlight w:val="none"/>
                <w:vertAlign w:val="subscript"/>
                <w:lang w:val="en-US" w:eastAsia="zh-CN"/>
              </w:rPr>
              <w:t>2</w:t>
            </w:r>
            <w:r>
              <w:rPr>
                <w:rFonts w:hint="eastAsia" w:ascii="Times New Roman" w:hAnsi="Times New Roman" w:eastAsia="宋体" w:cs="宋体"/>
                <w:sz w:val="18"/>
                <w:szCs w:val="18"/>
                <w:highlight w:val="none"/>
                <w:lang w:val="en-US" w:eastAsia="zh-CN"/>
              </w:rPr>
              <w:t>）、三氧化二铝（Al</w:t>
            </w:r>
            <w:r>
              <w:rPr>
                <w:rFonts w:hint="eastAsia" w:ascii="Times New Roman" w:hAnsi="Times New Roman" w:eastAsia="宋体" w:cs="宋体"/>
                <w:sz w:val="18"/>
                <w:szCs w:val="18"/>
                <w:highlight w:val="none"/>
                <w:vertAlign w:val="subscript"/>
                <w:lang w:val="en-US" w:eastAsia="zh-CN"/>
              </w:rPr>
              <w:t>3</w:t>
            </w:r>
            <w:r>
              <w:rPr>
                <w:rFonts w:hint="eastAsia" w:ascii="Times New Roman" w:hAnsi="Times New Roman" w:eastAsia="宋体" w:cs="宋体"/>
                <w:sz w:val="18"/>
                <w:szCs w:val="18"/>
                <w:highlight w:val="none"/>
                <w:vertAlign w:val="baseline"/>
                <w:lang w:val="en-US" w:eastAsia="zh-CN"/>
              </w:rPr>
              <w:t>O</w:t>
            </w:r>
            <w:r>
              <w:rPr>
                <w:rFonts w:hint="eastAsia" w:ascii="Times New Roman" w:hAnsi="Times New Roman" w:eastAsia="宋体" w:cs="宋体"/>
                <w:sz w:val="18"/>
                <w:szCs w:val="18"/>
                <w:highlight w:val="none"/>
                <w:vertAlign w:val="subscript"/>
                <w:lang w:val="en-US" w:eastAsia="zh-CN"/>
              </w:rPr>
              <w:t>2</w:t>
            </w:r>
            <w:r>
              <w:rPr>
                <w:rFonts w:hint="eastAsia" w:ascii="Times New Roman" w:hAnsi="Times New Roman" w:eastAsia="宋体" w:cs="宋体"/>
                <w:sz w:val="18"/>
                <w:szCs w:val="18"/>
                <w:highlight w:val="none"/>
                <w:lang w:val="en-US" w:eastAsia="zh-CN"/>
              </w:rPr>
              <w:t>）和三氧化二铁（Fe</w:t>
            </w:r>
            <w:r>
              <w:rPr>
                <w:rFonts w:hint="eastAsia" w:ascii="Times New Roman" w:hAnsi="Times New Roman" w:eastAsia="宋体" w:cs="宋体"/>
                <w:sz w:val="18"/>
                <w:szCs w:val="18"/>
                <w:highlight w:val="none"/>
                <w:vertAlign w:val="subscript"/>
                <w:lang w:val="en-US" w:eastAsia="zh-CN"/>
              </w:rPr>
              <w:t>2</w:t>
            </w:r>
            <w:r>
              <w:rPr>
                <w:rFonts w:hint="eastAsia" w:ascii="Times New Roman" w:hAnsi="Times New Roman" w:eastAsia="宋体" w:cs="宋体"/>
                <w:sz w:val="18"/>
                <w:szCs w:val="18"/>
                <w:highlight w:val="none"/>
                <w:lang w:val="en-US" w:eastAsia="zh-CN"/>
              </w:rPr>
              <w:t>O</w:t>
            </w:r>
            <w:r>
              <w:rPr>
                <w:rFonts w:hint="eastAsia" w:ascii="Times New Roman" w:hAnsi="Times New Roman" w:eastAsia="宋体" w:cs="宋体"/>
                <w:sz w:val="18"/>
                <w:szCs w:val="18"/>
                <w:highlight w:val="none"/>
                <w:vertAlign w:val="subscript"/>
                <w:lang w:val="en-US" w:eastAsia="zh-CN"/>
              </w:rPr>
              <w:t>3</w:t>
            </w:r>
            <w:r>
              <w:rPr>
                <w:rFonts w:hint="eastAsia" w:ascii="Times New Roman" w:hAnsi="Times New Roman" w:eastAsia="宋体" w:cs="宋体"/>
                <w:sz w:val="18"/>
                <w:szCs w:val="18"/>
                <w:highlight w:val="none"/>
                <w:lang w:val="en-US" w:eastAsia="zh-CN"/>
              </w:rPr>
              <w:t>）总质量分数/%</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5DE49BCF">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F类物理改性粉煤灰</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2F2B4632">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7</w:t>
            </w:r>
            <w:r>
              <w:rPr>
                <w:rFonts w:hint="eastAsia" w:ascii="Times New Roman" w:hAnsi="Times New Roman" w:eastAsia="宋体" w:cs="宋体"/>
                <w:sz w:val="18"/>
                <w:szCs w:val="18"/>
                <w:highlight w:val="none"/>
              </w:rPr>
              <w:t>0.0</w:t>
            </w:r>
          </w:p>
        </w:tc>
      </w:tr>
      <w:tr w14:paraId="608A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075" w:type="pct"/>
            <w:gridSpan w:val="2"/>
            <w:vMerge w:val="continue"/>
            <w:tcBorders>
              <w:left w:val="single" w:color="auto" w:sz="4" w:space="0"/>
              <w:bottom w:val="single" w:color="auto" w:sz="4" w:space="0"/>
              <w:right w:val="single" w:color="auto" w:sz="4" w:space="0"/>
            </w:tcBorders>
            <w:noWrap w:val="0"/>
            <w:vAlign w:val="center"/>
          </w:tcPr>
          <w:p w14:paraId="444384A3">
            <w:pPr>
              <w:jc w:val="center"/>
              <w:rPr>
                <w:highlight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038AAC2">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1C3D7590">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5</w:t>
            </w:r>
            <w:r>
              <w:rPr>
                <w:rFonts w:hint="eastAsia" w:ascii="Times New Roman" w:hAnsi="Times New Roman" w:eastAsia="宋体" w:cs="宋体"/>
                <w:sz w:val="18"/>
                <w:szCs w:val="18"/>
                <w:highlight w:val="none"/>
              </w:rPr>
              <w:t>0.0</w:t>
            </w:r>
          </w:p>
        </w:tc>
      </w:tr>
      <w:tr w14:paraId="2E53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075" w:type="pct"/>
            <w:gridSpan w:val="2"/>
            <w:tcBorders>
              <w:top w:val="single" w:color="auto" w:sz="4" w:space="0"/>
              <w:left w:val="single" w:color="auto" w:sz="4" w:space="0"/>
              <w:bottom w:val="single" w:color="auto" w:sz="4" w:space="0"/>
              <w:right w:val="single" w:color="auto" w:sz="4" w:space="0"/>
            </w:tcBorders>
            <w:noWrap w:val="0"/>
            <w:vAlign w:val="center"/>
          </w:tcPr>
          <w:p w14:paraId="6B5F180A">
            <w:pPr>
              <w:jc w:val="center"/>
              <w:rPr>
                <w:rFonts w:hint="default" w:ascii="Times New Roman" w:hAnsi="Times New Roman" w:eastAsia="宋体" w:cs="宋体"/>
                <w:sz w:val="18"/>
                <w:szCs w:val="18"/>
                <w:highlight w:val="none"/>
                <w:lang w:val="en-US" w:eastAsia="zh-CN"/>
              </w:rPr>
            </w:pPr>
            <w:r>
              <w:rPr>
                <w:rFonts w:hint="eastAsia" w:ascii="Times New Roman" w:hAnsi="Times New Roman" w:eastAsia="宋体" w:cs="宋体"/>
                <w:sz w:val="18"/>
                <w:szCs w:val="18"/>
                <w:highlight w:val="none"/>
                <w:lang w:val="en-US" w:eastAsia="zh-CN"/>
              </w:rPr>
              <w:t>安定性（雷氏法）/（mm）</w:t>
            </w:r>
          </w:p>
        </w:tc>
        <w:tc>
          <w:tcPr>
            <w:tcW w:w="1461" w:type="pct"/>
            <w:tcBorders>
              <w:top w:val="single" w:color="auto" w:sz="4" w:space="0"/>
              <w:left w:val="single" w:color="auto" w:sz="4" w:space="0"/>
              <w:bottom w:val="single" w:color="auto" w:sz="4" w:space="0"/>
              <w:right w:val="single" w:color="auto" w:sz="4" w:space="0"/>
            </w:tcBorders>
            <w:noWrap w:val="0"/>
            <w:vAlign w:val="center"/>
          </w:tcPr>
          <w:p w14:paraId="30C06681">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lang w:val="en-US" w:eastAsia="zh-CN"/>
              </w:rPr>
              <w:t>C类物理改性粉煤灰</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29D836ED">
            <w:pPr>
              <w:jc w:val="center"/>
              <w:rPr>
                <w:rFonts w:hint="eastAsia" w:ascii="Times New Roman" w:hAnsi="Times New Roman" w:eastAsia="宋体" w:cs="宋体"/>
                <w:sz w:val="18"/>
                <w:szCs w:val="18"/>
                <w:highlight w:val="none"/>
              </w:rPr>
            </w:pPr>
            <w:r>
              <w:rPr>
                <w:rFonts w:hint="eastAsia" w:ascii="Times New Roman" w:hAnsi="Times New Roman" w:eastAsia="宋体" w:cs="宋体"/>
                <w:sz w:val="18"/>
                <w:szCs w:val="18"/>
                <w:highlight w:val="none"/>
              </w:rPr>
              <w:t>≤</w:t>
            </w:r>
            <w:r>
              <w:rPr>
                <w:rFonts w:hint="eastAsia" w:ascii="Times New Roman" w:hAnsi="Times New Roman" w:eastAsia="宋体" w:cs="宋体"/>
                <w:sz w:val="18"/>
                <w:szCs w:val="18"/>
                <w:highlight w:val="none"/>
                <w:lang w:val="en-US" w:eastAsia="zh-CN"/>
              </w:rPr>
              <w:t>5</w:t>
            </w:r>
            <w:r>
              <w:rPr>
                <w:rFonts w:hint="eastAsia" w:ascii="Times New Roman" w:hAnsi="Times New Roman" w:eastAsia="宋体" w:cs="宋体"/>
                <w:sz w:val="18"/>
                <w:szCs w:val="18"/>
                <w:highlight w:val="none"/>
              </w:rPr>
              <w:t>.0</w:t>
            </w:r>
          </w:p>
        </w:tc>
      </w:tr>
    </w:tbl>
    <w:p w14:paraId="5C1A105A">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5</w:t>
      </w:r>
      <w:r>
        <w:rPr>
          <w:rFonts w:hint="eastAsia" w:ascii="黑体" w:hAnsi="黑体" w:eastAsia="黑体"/>
          <w:highlight w:val="none"/>
        </w:rPr>
        <w:t>.</w:t>
      </w:r>
      <w:r>
        <w:rPr>
          <w:rFonts w:hint="eastAsia" w:ascii="黑体" w:hAnsi="黑体" w:eastAsia="黑体"/>
          <w:highlight w:val="none"/>
          <w:lang w:val="en-US" w:eastAsia="zh-CN"/>
        </w:rPr>
        <w:t>2</w:t>
      </w:r>
      <w:r>
        <w:rPr>
          <w:rFonts w:hint="eastAsia" w:ascii="黑体" w:hAnsi="黑体" w:eastAsia="黑体"/>
          <w:highlight w:val="none"/>
        </w:rPr>
        <w:t xml:space="preserve"> </w:t>
      </w:r>
      <w:r>
        <w:rPr>
          <w:rFonts w:hint="eastAsia" w:ascii="黑体" w:hAnsi="黑体" w:eastAsia="黑体" w:cs="Times New Roman"/>
          <w:highlight w:val="none"/>
          <w:lang w:val="en-US" w:eastAsia="zh-CN"/>
        </w:rPr>
        <w:t>碱含量</w:t>
      </w:r>
      <w:bookmarkEnd w:id="37"/>
    </w:p>
    <w:p w14:paraId="723024C8">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按Na</w:t>
      </w:r>
      <w:r>
        <w:rPr>
          <w:rFonts w:hint="eastAsia" w:ascii="Times New Roman" w:hAnsi="宋体" w:eastAsia="宋体" w:cs="Times New Roman"/>
          <w:szCs w:val="21"/>
          <w:highlight w:val="none"/>
          <w:vertAlign w:val="subscript"/>
          <w:lang w:val="en-US" w:eastAsia="zh-CN"/>
        </w:rPr>
        <w:t>2</w:t>
      </w:r>
      <w:r>
        <w:rPr>
          <w:rFonts w:hint="eastAsia" w:ascii="Times New Roman" w:hAnsi="宋体" w:eastAsia="宋体" w:cs="Times New Roman"/>
          <w:szCs w:val="21"/>
          <w:highlight w:val="none"/>
          <w:lang w:val="en-US" w:eastAsia="zh-CN"/>
        </w:rPr>
        <w:t>O+0.658K</w:t>
      </w:r>
      <w:r>
        <w:rPr>
          <w:rFonts w:hint="eastAsia" w:ascii="Times New Roman" w:hAnsi="宋体" w:eastAsia="宋体" w:cs="Times New Roman"/>
          <w:szCs w:val="21"/>
          <w:highlight w:val="none"/>
          <w:vertAlign w:val="subscript"/>
          <w:lang w:val="en-US" w:eastAsia="zh-CN"/>
        </w:rPr>
        <w:t>2</w:t>
      </w:r>
      <w:r>
        <w:rPr>
          <w:rFonts w:hint="eastAsia" w:ascii="Times New Roman" w:hAnsi="宋体" w:eastAsia="宋体" w:cs="Times New Roman"/>
          <w:szCs w:val="21"/>
          <w:highlight w:val="none"/>
          <w:lang w:val="en-US" w:eastAsia="zh-CN"/>
        </w:rPr>
        <w:t>O计算值表示。当物理改性粉煤灰应用中有碱含量要求时，由供需双方协商确定。</w:t>
      </w:r>
    </w:p>
    <w:p w14:paraId="4D05378A">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5</w:t>
      </w:r>
      <w:r>
        <w:rPr>
          <w:rFonts w:hint="eastAsia" w:ascii="黑体" w:hAnsi="黑体" w:eastAsia="黑体"/>
          <w:highlight w:val="none"/>
        </w:rPr>
        <w:t>.</w:t>
      </w:r>
      <w:r>
        <w:rPr>
          <w:rFonts w:hint="eastAsia" w:ascii="黑体" w:hAnsi="黑体" w:eastAsia="黑体"/>
          <w:highlight w:val="none"/>
          <w:lang w:val="en-US" w:eastAsia="zh-CN"/>
        </w:rPr>
        <w:t>3</w:t>
      </w:r>
      <w:r>
        <w:rPr>
          <w:rFonts w:hint="eastAsia" w:ascii="黑体" w:hAnsi="黑体" w:eastAsia="黑体"/>
          <w:highlight w:val="none"/>
        </w:rPr>
        <w:t xml:space="preserve"> </w:t>
      </w:r>
      <w:r>
        <w:rPr>
          <w:rFonts w:hint="eastAsia" w:ascii="黑体" w:hAnsi="黑体" w:eastAsia="黑体" w:cs="Times New Roman"/>
          <w:highlight w:val="none"/>
          <w:lang w:val="en-US" w:eastAsia="zh-CN"/>
        </w:rPr>
        <w:t>放射性</w:t>
      </w:r>
    </w:p>
    <w:p w14:paraId="018B4B2C">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符合GB/T 6566中建筑主体材料规定。</w:t>
      </w:r>
    </w:p>
    <w:p w14:paraId="5AEEAD92">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5</w:t>
      </w:r>
      <w:r>
        <w:rPr>
          <w:rFonts w:hint="eastAsia" w:ascii="黑体" w:hAnsi="黑体" w:eastAsia="黑体"/>
          <w:highlight w:val="none"/>
        </w:rPr>
        <w:t>.</w:t>
      </w:r>
      <w:r>
        <w:rPr>
          <w:rFonts w:hint="eastAsia" w:ascii="黑体" w:hAnsi="黑体" w:eastAsia="黑体"/>
          <w:highlight w:val="none"/>
          <w:lang w:val="en-US" w:eastAsia="zh-CN"/>
        </w:rPr>
        <w:t>4</w:t>
      </w:r>
      <w:r>
        <w:rPr>
          <w:rFonts w:hint="eastAsia" w:ascii="黑体" w:hAnsi="黑体" w:eastAsia="黑体"/>
          <w:highlight w:val="none"/>
        </w:rPr>
        <w:t xml:space="preserve"> </w:t>
      </w:r>
      <w:r>
        <w:rPr>
          <w:rFonts w:hint="eastAsia" w:ascii="黑体" w:hAnsi="黑体" w:eastAsia="黑体" w:cs="Times New Roman"/>
          <w:highlight w:val="none"/>
          <w:lang w:val="en-US" w:eastAsia="zh-CN"/>
        </w:rPr>
        <w:t>均匀性</w:t>
      </w:r>
    </w:p>
    <w:p w14:paraId="553444B5">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符合GB/T 1596相关规定。</w:t>
      </w:r>
    </w:p>
    <w:p w14:paraId="27CAB923">
      <w:pPr>
        <w:pStyle w:val="33"/>
        <w:spacing w:before="312" w:beforeLines="100" w:after="312" w:afterLines="100"/>
        <w:outlineLvl w:val="0"/>
        <w:rPr>
          <w:rFonts w:ascii="黑体" w:hAnsi="黑体" w:eastAsia="黑体" w:cs="Times New Roman"/>
          <w:highlight w:val="none"/>
        </w:rPr>
      </w:pPr>
      <w:bookmarkStart w:id="38" w:name="_Toc7575"/>
      <w:bookmarkStart w:id="39" w:name="_Toc9588"/>
      <w:r>
        <w:rPr>
          <w:rFonts w:hint="eastAsia" w:ascii="黑体" w:hAnsi="黑体" w:eastAsia="黑体"/>
          <w:highlight w:val="none"/>
          <w:lang w:val="en-US" w:eastAsia="zh-CN"/>
        </w:rPr>
        <w:t>6</w:t>
      </w:r>
      <w:r>
        <w:rPr>
          <w:rFonts w:ascii="黑体" w:hAnsi="黑体" w:eastAsia="黑体"/>
          <w:highlight w:val="none"/>
        </w:rPr>
        <w:t xml:space="preserve"> </w:t>
      </w:r>
      <w:r>
        <w:rPr>
          <w:rFonts w:ascii="黑体" w:hAnsi="黑体" w:eastAsia="黑体" w:cs="Times New Roman"/>
          <w:highlight w:val="none"/>
        </w:rPr>
        <w:t>试验方法</w:t>
      </w:r>
      <w:bookmarkEnd w:id="38"/>
      <w:bookmarkEnd w:id="39"/>
    </w:p>
    <w:p w14:paraId="215AE4A8">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1</w:t>
      </w:r>
      <w:r>
        <w:rPr>
          <w:rFonts w:hint="eastAsia" w:ascii="黑体" w:hAnsi="黑体" w:eastAsia="黑体"/>
          <w:highlight w:val="none"/>
        </w:rPr>
        <w:t xml:space="preserve"> </w:t>
      </w:r>
      <w:r>
        <w:rPr>
          <w:rFonts w:hint="eastAsia" w:ascii="黑体" w:hAnsi="黑体" w:eastAsia="黑体" w:cs="Times New Roman"/>
          <w:highlight w:val="none"/>
          <w:lang w:val="en-US" w:eastAsia="zh-CN"/>
        </w:rPr>
        <w:t>细度</w:t>
      </w:r>
    </w:p>
    <w:p w14:paraId="46A06E83">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1596第1号修改单进行。</w:t>
      </w:r>
    </w:p>
    <w:p w14:paraId="2B95F7B7">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2</w:t>
      </w:r>
      <w:r>
        <w:rPr>
          <w:rFonts w:hint="eastAsia" w:ascii="黑体" w:hAnsi="黑体" w:eastAsia="黑体"/>
          <w:highlight w:val="none"/>
        </w:rPr>
        <w:t xml:space="preserve"> </w:t>
      </w:r>
      <w:r>
        <w:rPr>
          <w:rFonts w:hint="eastAsia" w:ascii="黑体" w:hAnsi="黑体" w:eastAsia="黑体" w:cs="Times New Roman"/>
          <w:highlight w:val="none"/>
          <w:lang w:val="en-US" w:eastAsia="zh-CN"/>
        </w:rPr>
        <w:t>玻璃微珠完好率</w:t>
      </w:r>
    </w:p>
    <w:p w14:paraId="09C57762">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按附录A进行。</w:t>
      </w:r>
    </w:p>
    <w:p w14:paraId="4F1EACB1">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3</w:t>
      </w:r>
      <w:r>
        <w:rPr>
          <w:rFonts w:hint="eastAsia" w:ascii="黑体" w:hAnsi="黑体" w:eastAsia="黑体"/>
          <w:highlight w:val="none"/>
        </w:rPr>
        <w:t xml:space="preserve"> </w:t>
      </w:r>
      <w:r>
        <w:rPr>
          <w:rFonts w:hint="eastAsia" w:ascii="黑体" w:hAnsi="黑体" w:eastAsia="黑体" w:cs="Times New Roman"/>
          <w:highlight w:val="none"/>
          <w:lang w:val="en-US" w:eastAsia="zh-CN"/>
        </w:rPr>
        <w:t>颗粒形貌</w:t>
      </w:r>
    </w:p>
    <w:p w14:paraId="4B3DB5EB">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按附录A进行。</w:t>
      </w:r>
    </w:p>
    <w:p w14:paraId="1C608698">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4</w:t>
      </w:r>
      <w:r>
        <w:rPr>
          <w:rFonts w:hint="eastAsia" w:ascii="黑体" w:hAnsi="黑体" w:eastAsia="黑体"/>
          <w:highlight w:val="none"/>
        </w:rPr>
        <w:t xml:space="preserve"> </w:t>
      </w:r>
      <w:r>
        <w:rPr>
          <w:rFonts w:hint="eastAsia" w:ascii="黑体" w:hAnsi="黑体" w:eastAsia="黑体" w:cs="Times New Roman"/>
          <w:highlight w:val="none"/>
          <w:lang w:val="en-US" w:eastAsia="zh-CN"/>
        </w:rPr>
        <w:t>粒径分布</w:t>
      </w:r>
    </w:p>
    <w:p w14:paraId="0204F24B">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按JC/T 721进行。</w:t>
      </w:r>
    </w:p>
    <w:p w14:paraId="7D212ABD">
      <w:pPr>
        <w:pStyle w:val="33"/>
        <w:outlineLvl w:val="1"/>
        <w:rPr>
          <w:rFonts w:hint="eastAsia" w:ascii="黑体" w:hAnsi="黑体" w:eastAsia="黑体"/>
          <w:highlight w:val="none"/>
          <w:lang w:val="en-US" w:eastAsia="zh-CN"/>
        </w:rPr>
      </w:pPr>
    </w:p>
    <w:p w14:paraId="5FD7ACB8">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5</w:t>
      </w:r>
      <w:r>
        <w:rPr>
          <w:rFonts w:hint="eastAsia" w:ascii="黑体" w:hAnsi="黑体" w:eastAsia="黑体"/>
          <w:highlight w:val="none"/>
        </w:rPr>
        <w:t xml:space="preserve"> </w:t>
      </w:r>
      <w:r>
        <w:rPr>
          <w:rFonts w:hint="eastAsia" w:ascii="黑体" w:hAnsi="黑体" w:eastAsia="黑体" w:cs="Times New Roman"/>
          <w:highlight w:val="none"/>
          <w:lang w:val="en-US" w:eastAsia="zh-CN"/>
        </w:rPr>
        <w:t>铵离子含量</w:t>
      </w:r>
    </w:p>
    <w:p w14:paraId="487DDE16">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39701进行，可采用符合GSB 08-3912规定的粉煤灰铵离子含量系列标准样品或其他同等级标准样品进行校正。</w:t>
      </w:r>
    </w:p>
    <w:p w14:paraId="35A39EE1">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6.6 需水量比</w:t>
      </w:r>
    </w:p>
    <w:p w14:paraId="56F72553">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1596进行。</w:t>
      </w:r>
    </w:p>
    <w:p w14:paraId="7409F12B">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7</w:t>
      </w:r>
      <w:r>
        <w:rPr>
          <w:rFonts w:hint="eastAsia" w:ascii="黑体" w:hAnsi="黑体" w:eastAsia="黑体"/>
          <w:highlight w:val="none"/>
        </w:rPr>
        <w:t xml:space="preserve"> </w:t>
      </w:r>
      <w:r>
        <w:rPr>
          <w:rFonts w:hint="eastAsia" w:ascii="黑体" w:hAnsi="黑体" w:eastAsia="黑体" w:cs="Times New Roman"/>
          <w:highlight w:val="none"/>
          <w:lang w:val="en-US" w:eastAsia="zh-CN"/>
        </w:rPr>
        <w:t>含水量</w:t>
      </w:r>
    </w:p>
    <w:p w14:paraId="3ACC763E">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1596进行。</w:t>
      </w:r>
    </w:p>
    <w:p w14:paraId="79818533">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6.8 密度</w:t>
      </w:r>
    </w:p>
    <w:p w14:paraId="69DB7842">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208进行</w:t>
      </w:r>
    </w:p>
    <w:p w14:paraId="75C87BC8">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9</w:t>
      </w:r>
      <w:r>
        <w:rPr>
          <w:rFonts w:hint="eastAsia" w:ascii="黑体" w:hAnsi="黑体" w:eastAsia="黑体"/>
          <w:highlight w:val="none"/>
        </w:rPr>
        <w:t xml:space="preserve"> </w:t>
      </w:r>
      <w:r>
        <w:rPr>
          <w:rFonts w:hint="eastAsia" w:ascii="黑体" w:hAnsi="黑体" w:eastAsia="黑体" w:cs="Times New Roman"/>
          <w:highlight w:val="none"/>
          <w:lang w:val="en-US" w:eastAsia="zh-CN"/>
        </w:rPr>
        <w:t>强度活性指数</w:t>
      </w:r>
    </w:p>
    <w:p w14:paraId="607C90FF">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1596进行。</w:t>
      </w:r>
    </w:p>
    <w:p w14:paraId="6193FB53">
      <w:pPr>
        <w:pStyle w:val="33"/>
        <w:outlineLvl w:val="1"/>
        <w:rPr>
          <w:rFonts w:hint="eastAsia" w:ascii="黑体" w:hAnsi="黑体" w:eastAsia="黑体" w:cs="Times New Roman"/>
          <w:highlight w:val="none"/>
          <w:lang w:val="en-US" w:eastAsia="zh-CN"/>
        </w:rPr>
      </w:pPr>
      <w:bookmarkStart w:id="40" w:name="_Toc79056814"/>
      <w:r>
        <w:rPr>
          <w:rFonts w:hint="eastAsia" w:ascii="黑体" w:hAnsi="黑体" w:eastAsia="黑体" w:cs="Times New Roman"/>
          <w:highlight w:val="none"/>
          <w:lang w:val="en-US" w:eastAsia="zh-CN"/>
        </w:rPr>
        <w:t>6.10 烧失量、三氧化硫、游离氧化钙、二氧化硅、三氧化二铝、三氧化二铁、碱含量</w:t>
      </w:r>
      <w:bookmarkEnd w:id="40"/>
    </w:p>
    <w:p w14:paraId="42958C4C">
      <w:pPr>
        <w:spacing w:line="400" w:lineRule="exact"/>
        <w:ind w:firstLine="420" w:firstLineChars="200"/>
        <w:jc w:val="left"/>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176进行，其中三氧化二铝的测定采用硫酸铜返滴定法或X射线荧光分析方法，有争议时以硫酸铜返滴定法为准。</w:t>
      </w:r>
    </w:p>
    <w:p w14:paraId="24CA8FD9">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11</w:t>
      </w:r>
      <w:r>
        <w:rPr>
          <w:rFonts w:hint="eastAsia" w:ascii="黑体" w:hAnsi="黑体" w:eastAsia="黑体"/>
          <w:highlight w:val="none"/>
        </w:rPr>
        <w:t xml:space="preserve"> </w:t>
      </w:r>
      <w:r>
        <w:rPr>
          <w:rFonts w:hint="eastAsia" w:ascii="黑体" w:hAnsi="黑体" w:eastAsia="黑体" w:cs="Times New Roman"/>
          <w:highlight w:val="none"/>
          <w:lang w:val="en-US" w:eastAsia="zh-CN"/>
        </w:rPr>
        <w:t>安定性</w:t>
      </w:r>
    </w:p>
    <w:p w14:paraId="65AB4738">
      <w:pPr>
        <w:spacing w:line="400" w:lineRule="exact"/>
        <w:ind w:firstLine="420" w:firstLineChars="200"/>
        <w:jc w:val="left"/>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将物理改性粉煤灰与符合GB/T 1596规定的水泥按质量比3:7混合均匀</w:t>
      </w:r>
      <w:r>
        <w:rPr>
          <w:rFonts w:hint="eastAsia" w:ascii="Times New Roman" w:hAnsi="宋体" w:eastAsia="宋体" w:cs="Times New Roman"/>
          <w:szCs w:val="21"/>
          <w:highlight w:val="none"/>
          <w:lang w:val="en-US" w:eastAsia="zh-CN"/>
        </w:rPr>
        <w:t>，并按GB/T 1346检测。</w:t>
      </w:r>
    </w:p>
    <w:p w14:paraId="235DC1F1">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12</w:t>
      </w:r>
      <w:r>
        <w:rPr>
          <w:rFonts w:hint="eastAsia" w:ascii="黑体" w:hAnsi="黑体" w:eastAsia="黑体"/>
          <w:highlight w:val="none"/>
        </w:rPr>
        <w:t xml:space="preserve"> </w:t>
      </w:r>
      <w:r>
        <w:rPr>
          <w:rFonts w:hint="eastAsia" w:ascii="黑体" w:hAnsi="黑体" w:eastAsia="黑体" w:cs="Times New Roman"/>
          <w:highlight w:val="none"/>
          <w:lang w:val="en-US" w:eastAsia="zh-CN"/>
        </w:rPr>
        <w:t>放射性</w:t>
      </w:r>
    </w:p>
    <w:p w14:paraId="48F5AEC5">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将物理改性粉煤灰与符合GB 175要求的硅酸盐水泥按质量比1:1混合均匀，并按GB 6566检测。</w:t>
      </w:r>
    </w:p>
    <w:p w14:paraId="7E3083E6">
      <w:pPr>
        <w:pStyle w:val="33"/>
        <w:outlineLvl w:val="1"/>
        <w:rPr>
          <w:rFonts w:hint="eastAsia" w:ascii="黑体" w:hAnsi="黑体" w:eastAsia="黑体" w:cs="Times New Roman"/>
          <w:highlight w:val="none"/>
          <w:lang w:val="en-US" w:eastAsia="zh-CN"/>
        </w:rPr>
      </w:pPr>
      <w:r>
        <w:rPr>
          <w:rFonts w:hint="eastAsia" w:ascii="黑体" w:hAnsi="黑体" w:eastAsia="黑体"/>
          <w:highlight w:val="none"/>
          <w:lang w:val="en-US" w:eastAsia="zh-CN"/>
        </w:rPr>
        <w:t>6</w:t>
      </w:r>
      <w:r>
        <w:rPr>
          <w:rFonts w:hint="eastAsia" w:ascii="黑体" w:hAnsi="黑体" w:eastAsia="黑体"/>
          <w:highlight w:val="none"/>
        </w:rPr>
        <w:t>.</w:t>
      </w:r>
      <w:r>
        <w:rPr>
          <w:rFonts w:hint="eastAsia" w:ascii="黑体" w:hAnsi="黑体" w:eastAsia="黑体"/>
          <w:highlight w:val="none"/>
          <w:lang w:val="en-US" w:eastAsia="zh-CN"/>
        </w:rPr>
        <w:t>13</w:t>
      </w:r>
      <w:r>
        <w:rPr>
          <w:rFonts w:hint="eastAsia" w:ascii="黑体" w:hAnsi="黑体" w:eastAsia="黑体"/>
          <w:highlight w:val="none"/>
        </w:rPr>
        <w:t xml:space="preserve"> </w:t>
      </w:r>
      <w:r>
        <w:rPr>
          <w:rFonts w:hint="eastAsia" w:ascii="黑体" w:hAnsi="黑体" w:eastAsia="黑体" w:cs="Times New Roman"/>
          <w:highlight w:val="none"/>
          <w:lang w:val="en-US" w:eastAsia="zh-CN"/>
        </w:rPr>
        <w:t>均匀性</w:t>
      </w:r>
    </w:p>
    <w:p w14:paraId="208DC509">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按GB/T 1596进行。</w:t>
      </w:r>
    </w:p>
    <w:p w14:paraId="466FD926">
      <w:pPr>
        <w:pStyle w:val="33"/>
        <w:spacing w:before="312" w:beforeLines="100" w:after="312" w:afterLines="100"/>
        <w:outlineLvl w:val="0"/>
        <w:rPr>
          <w:rFonts w:hint="eastAsia" w:ascii="黑体" w:hAnsi="黑体" w:eastAsia="黑体" w:cs="Times New Roman"/>
          <w:highlight w:val="none"/>
          <w:lang w:val="en-US" w:eastAsia="zh-CN"/>
        </w:rPr>
      </w:pPr>
      <w:bookmarkStart w:id="41" w:name="_Toc26862"/>
      <w:bookmarkStart w:id="42" w:name="_Toc14453"/>
      <w:r>
        <w:rPr>
          <w:rFonts w:hint="eastAsia" w:ascii="黑体" w:hAnsi="黑体" w:eastAsia="黑体" w:cs="Times New Roman"/>
          <w:highlight w:val="none"/>
          <w:lang w:val="en-US" w:eastAsia="zh-CN"/>
        </w:rPr>
        <w:t>7 检验规则</w:t>
      </w:r>
      <w:bookmarkEnd w:id="41"/>
      <w:bookmarkEnd w:id="42"/>
    </w:p>
    <w:p w14:paraId="7FB2ADD8">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7.1编号及取样</w:t>
      </w:r>
    </w:p>
    <w:p w14:paraId="6043E635">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物理改性粉煤灰出厂前应进行编号和取样。散装和袋装物理改性粉煤灰应分别进行编号和取样。不超过500t为一编号，每一编号为一取样单位。当散装运输工具容量超过该厂规定出厂编号吨数时，允许该编号数量超过该厂规定出厂编号吨数。</w:t>
      </w:r>
    </w:p>
    <w:p w14:paraId="6DBA124F">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取样方法按GB/T 12573进行。取样应有代表性，可连续取，也可从10个以上部位取等量样品，总量至少5kg。</w:t>
      </w:r>
    </w:p>
    <w:p w14:paraId="49A2A0C1">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7.2出厂检验</w:t>
      </w:r>
    </w:p>
    <w:p w14:paraId="03809F23">
      <w:pPr>
        <w:spacing w:line="400" w:lineRule="exact"/>
        <w:ind w:firstLine="420" w:firstLineChars="200"/>
        <w:jc w:val="left"/>
        <w:rPr>
          <w:rFonts w:ascii="Times New Roman" w:hAnsi="宋体" w:eastAsia="宋体" w:cs="Times New Roman"/>
          <w:szCs w:val="21"/>
          <w:highlight w:val="none"/>
        </w:rPr>
      </w:pPr>
      <w:r>
        <w:rPr>
          <w:rFonts w:ascii="Times New Roman" w:hAnsi="宋体" w:eastAsia="宋体" w:cs="Times New Roman"/>
          <w:szCs w:val="21"/>
          <w:highlight w:val="none"/>
        </w:rPr>
        <w:t>出厂检验项目为5.1中</w:t>
      </w:r>
      <w:r>
        <w:rPr>
          <w:rFonts w:hint="eastAsia" w:ascii="Times New Roman" w:hAnsi="宋体" w:eastAsia="宋体" w:cs="Times New Roman"/>
          <w:szCs w:val="21"/>
          <w:highlight w:val="none"/>
        </w:rPr>
        <w:t>除强度活性指数以外的所有项目。</w:t>
      </w:r>
    </w:p>
    <w:p w14:paraId="392F1699">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7.3型式检验</w:t>
      </w:r>
    </w:p>
    <w:p w14:paraId="2AB35CE3">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型式检验项目为5.1、5.3和5.4全部内容。有下列情况之一时，应进行型式检验：</w:t>
      </w:r>
    </w:p>
    <w:p w14:paraId="629B675F">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a）原料、工艺有较大改变，可能影响产品性能时；</w:t>
      </w:r>
    </w:p>
    <w:p w14:paraId="41C1067D">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b）正常生产时，每年检验一次；</w:t>
      </w:r>
    </w:p>
    <w:p w14:paraId="70008BE2">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c）产品停产6个月后，恢复生产时；</w:t>
      </w:r>
    </w:p>
    <w:p w14:paraId="4AD7A910">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d）出厂检验结果和上次型式检验结果有较大差异时。</w:t>
      </w:r>
    </w:p>
    <w:p w14:paraId="2B91D162">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7.4判定规则</w:t>
      </w:r>
    </w:p>
    <w:p w14:paraId="6C96FB39">
      <w:pPr>
        <w:pStyle w:val="33"/>
        <w:outlineLvl w:val="2"/>
        <w:rPr>
          <w:rFonts w:hint="eastAsia" w:ascii="黑体" w:hAnsi="黑体" w:eastAsia="黑体" w:cs="Times New Roman"/>
          <w:highlight w:val="none"/>
        </w:rPr>
      </w:pPr>
      <w:r>
        <w:rPr>
          <w:rFonts w:hint="eastAsia" w:ascii="黑体" w:hAnsi="黑体" w:eastAsia="黑体" w:cs="Times New Roman"/>
          <w:highlight w:val="none"/>
          <w:lang w:val="en-US" w:eastAsia="zh-CN"/>
        </w:rPr>
        <w:t>7.4.1</w:t>
      </w:r>
      <w:r>
        <w:rPr>
          <w:rFonts w:hint="eastAsia" w:ascii="黑体" w:hAnsi="黑体" w:eastAsia="黑体" w:cs="Times New Roman"/>
          <w:highlight w:val="none"/>
        </w:rPr>
        <w:t>出厂检验</w:t>
      </w:r>
    </w:p>
    <w:p w14:paraId="49C1F1F7">
      <w:pPr>
        <w:spacing w:line="400" w:lineRule="exact"/>
        <w:ind w:firstLine="420" w:firstLineChars="200"/>
        <w:jc w:val="left"/>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检验结果符合5.1中的45</w:t>
      </w:r>
      <w:r>
        <w:rPr>
          <w:rFonts w:hint="default" w:ascii="Times New Roman" w:hAnsi="Times New Roman" w:eastAsia="宋体" w:cs="Times New Roman"/>
          <w:szCs w:val="21"/>
          <w:highlight w:val="none"/>
          <w:lang w:val="en-US" w:eastAsia="zh-CN"/>
        </w:rPr>
        <w:t>μ</w:t>
      </w:r>
      <w:r>
        <w:rPr>
          <w:rFonts w:hint="eastAsia" w:ascii="Times New Roman" w:hAnsi="宋体" w:eastAsia="宋体" w:cs="Times New Roman"/>
          <w:szCs w:val="21"/>
          <w:highlight w:val="none"/>
          <w:lang w:val="en-US" w:eastAsia="zh-CN"/>
        </w:rPr>
        <w:t>m筛余、玻璃微珠完好率、颗粒形貌、粒径分布、氨离子含量需水量比、含水量和密度技术要求时为合格品。若其中任何一项不符合要求，允许在同一编号中重新取样进行全部项目的复检，以复检结果判定。</w:t>
      </w:r>
    </w:p>
    <w:p w14:paraId="3A02604D">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检验结果不符合5.1中的45</w:t>
      </w:r>
      <w:r>
        <w:rPr>
          <w:rFonts w:hint="default" w:ascii="Times New Roman" w:hAnsi="Times New Roman" w:eastAsia="宋体" w:cs="Times New Roman"/>
          <w:szCs w:val="21"/>
          <w:highlight w:val="none"/>
          <w:lang w:val="en-US" w:eastAsia="zh-CN"/>
        </w:rPr>
        <w:t>μ</w:t>
      </w:r>
      <w:r>
        <w:rPr>
          <w:rFonts w:hint="eastAsia" w:ascii="Times New Roman" w:hAnsi="宋体" w:eastAsia="宋体" w:cs="Times New Roman"/>
          <w:szCs w:val="21"/>
          <w:highlight w:val="none"/>
          <w:lang w:val="en-US" w:eastAsia="zh-CN"/>
        </w:rPr>
        <w:t>m筛余、玻璃微珠完好率、颗粒形貌、粒径分布、氨离子含量需水量比、含水量和密度中任何一项技术要求时为不合格品。若其中任何一项不符合要求，允许在同一编号中重新取样进行全部项目的复检，以复检结果判定。</w:t>
      </w:r>
    </w:p>
    <w:p w14:paraId="71492E6F">
      <w:pPr>
        <w:pStyle w:val="33"/>
        <w:outlineLvl w:val="2"/>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7.4.2型式检验</w:t>
      </w:r>
    </w:p>
    <w:p w14:paraId="7BD127E9">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型式检验结果符合5.1、5.3和5.4技术要求时为合格。若其中任何一项不符合要求，允许在同一编号中重新取样进行全部项目的复检，以复检结果判定。</w:t>
      </w:r>
    </w:p>
    <w:p w14:paraId="395F1C7A">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型式检验结果不符合5.1、5.3和5.4中任何一项技术要求时为不合格。若其中任何一项不符合要求，允许在同一编号中重新取样进行全部项目的复检，以复检结果判定。</w:t>
      </w:r>
    </w:p>
    <w:p w14:paraId="43CBAD2F">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7.5检验报告</w:t>
      </w:r>
    </w:p>
    <w:p w14:paraId="60F0D35C">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检验报告内容应包括出厂编号、出厂检验项目以及合同约定的其他技术要求等。当用户需要时，生产者应在物理改性粉煤灰发出日起7d内寄发除28d强度活性指数以外的各项检验结果，32d内补报28d活性指数检验结果。</w:t>
      </w:r>
    </w:p>
    <w:p w14:paraId="04D26BA6">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7.6仲裁</w:t>
      </w:r>
    </w:p>
    <w:p w14:paraId="12BEF8DC">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对物理改性粉煤灰质量有争议时，相关单位应将认可的样品签封，送省级或省级以上国家认可的质量监督检验机构进行仲裁检验。</w:t>
      </w:r>
    </w:p>
    <w:p w14:paraId="4DD63D84">
      <w:pPr>
        <w:pStyle w:val="33"/>
        <w:spacing w:before="312" w:beforeLines="100" w:after="312" w:afterLines="100"/>
        <w:outlineLvl w:val="0"/>
        <w:rPr>
          <w:rFonts w:hint="eastAsia" w:ascii="黑体" w:hAnsi="黑体" w:eastAsia="黑体" w:cs="Times New Roman"/>
          <w:highlight w:val="none"/>
          <w:lang w:val="en-US" w:eastAsia="zh-CN"/>
        </w:rPr>
      </w:pPr>
      <w:bookmarkStart w:id="43" w:name="_Toc5032"/>
    </w:p>
    <w:p w14:paraId="5A0471D2">
      <w:pPr>
        <w:pStyle w:val="33"/>
        <w:spacing w:before="312" w:beforeLines="100" w:after="312" w:afterLines="100"/>
        <w:outlineLvl w:val="0"/>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8包装、标志、运输与贮存</w:t>
      </w:r>
      <w:bookmarkEnd w:id="43"/>
    </w:p>
    <w:p w14:paraId="1D89D4ED">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8.1包装</w:t>
      </w:r>
    </w:p>
    <w:p w14:paraId="583DFFC4">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物理改性粉煤灰可以散装或袋装，包装形式由供需双方协商确定。袋装物理改性粉煤灰每袋净含量应不少于标志质量的99%，随机抽取20袋的总质量（含包装袋）应不少于标志质量的100%。</w:t>
      </w:r>
    </w:p>
    <w:p w14:paraId="12CD5D73">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包装袋应符合GB/T 9774的规定。</w:t>
      </w:r>
    </w:p>
    <w:p w14:paraId="5BFD8587">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8.2标志</w:t>
      </w:r>
    </w:p>
    <w:p w14:paraId="5704E9F2">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包装袋上应清楚标明：生产者名称、产品名称、执行标准号、净含量、包装日期、出厂编号和电子合格证。散装时应提供与袋装标志相同内容的卡片。</w:t>
      </w:r>
    </w:p>
    <w:p w14:paraId="0C42EEDD">
      <w:pPr>
        <w:pStyle w:val="33"/>
        <w:outlineLvl w:val="1"/>
        <w:rPr>
          <w:rFonts w:hint="eastAsia" w:ascii="黑体" w:hAnsi="黑体" w:eastAsia="黑体" w:cs="Times New Roman"/>
          <w:highlight w:val="none"/>
          <w:lang w:val="en-US" w:eastAsia="zh-CN"/>
        </w:rPr>
      </w:pPr>
      <w:r>
        <w:rPr>
          <w:rFonts w:hint="eastAsia" w:ascii="黑体" w:hAnsi="黑体" w:eastAsia="黑体" w:cs="Times New Roman"/>
          <w:highlight w:val="none"/>
          <w:lang w:val="en-US" w:eastAsia="zh-CN"/>
        </w:rPr>
        <w:t>8.3运输与贮存</w:t>
      </w:r>
    </w:p>
    <w:p w14:paraId="10228D2F">
      <w:pPr>
        <w:spacing w:line="400" w:lineRule="exact"/>
        <w:ind w:firstLine="420" w:firstLineChars="200"/>
        <w:jc w:val="left"/>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物理改性粉煤灰在运输与贮存时不得受潮和混入杂物。</w:t>
      </w:r>
    </w:p>
    <w:p w14:paraId="39FC155A">
      <w:pPr>
        <w:pStyle w:val="33"/>
        <w:ind w:firstLine="420" w:firstLineChars="200"/>
        <w:rPr>
          <w:rFonts w:hint="eastAsia" w:ascii="Times New Roman" w:hAnsi="宋体" w:eastAsia="宋体" w:cs="Times New Roman"/>
          <w:highlight w:val="none"/>
          <w:lang w:val="en-US" w:eastAsia="zh-CN"/>
        </w:rPr>
      </w:pPr>
    </w:p>
    <w:p w14:paraId="13AABC69">
      <w:pPr>
        <w:pStyle w:val="33"/>
        <w:rPr>
          <w:rFonts w:ascii="黑体" w:hAnsi="黑体" w:eastAsia="黑体"/>
          <w:highlight w:val="none"/>
        </w:rPr>
      </w:pPr>
    </w:p>
    <w:p w14:paraId="3FCDEB25">
      <w:pPr>
        <w:pStyle w:val="33"/>
        <w:rPr>
          <w:rFonts w:ascii="黑体" w:hAnsi="黑体" w:eastAsia="黑体"/>
          <w:highlight w:val="none"/>
        </w:rPr>
      </w:pPr>
    </w:p>
    <w:bookmarkEnd w:id="35"/>
    <w:p w14:paraId="68A5F18C">
      <w:pPr>
        <w:tabs>
          <w:tab w:val="left" w:pos="7725"/>
        </w:tabs>
        <w:jc w:val="center"/>
        <w:outlineLvl w:val="9"/>
        <w:rPr>
          <w:rStyle w:val="38"/>
          <w:rFonts w:hint="eastAsia" w:ascii="等线" w:hAnsi="等线"/>
          <w:b/>
          <w:iCs/>
          <w:smallCaps w:val="0"/>
          <w:color w:val="auto"/>
          <w:szCs w:val="21"/>
          <w:highlight w:val="none"/>
          <w:u w:val="none"/>
          <w:vertAlign w:val="subscript"/>
        </w:rPr>
      </w:pPr>
      <w:bookmarkStart w:id="44" w:name="_Toc157681511"/>
      <w:bookmarkStart w:id="45" w:name="_Toc3546"/>
      <w:r>
        <w:rPr>
          <w:rStyle w:val="38"/>
          <w:rFonts w:hint="eastAsia" w:ascii="等线" w:hAnsi="等线"/>
          <w:b/>
          <w:iCs/>
          <w:smallCaps w:val="0"/>
          <w:color w:val="auto"/>
          <w:szCs w:val="21"/>
          <w:highlight w:val="none"/>
          <w:u w:val="none"/>
          <w:vertAlign w:val="subscript"/>
        </w:rPr>
        <w:t>——————————————</w:t>
      </w:r>
      <w:bookmarkEnd w:id="44"/>
      <w:bookmarkEnd w:id="45"/>
    </w:p>
    <w:p w14:paraId="43CC82D9">
      <w:pPr>
        <w:tabs>
          <w:tab w:val="left" w:pos="7725"/>
        </w:tabs>
        <w:jc w:val="left"/>
        <w:outlineLvl w:val="9"/>
        <w:rPr>
          <w:rFonts w:hint="eastAsia" w:ascii="等线 Light" w:hAnsi="等线 Light"/>
          <w:iCs/>
          <w:highlight w:val="none"/>
        </w:rPr>
        <w:sectPr>
          <w:pgSz w:w="11907" w:h="16839"/>
          <w:pgMar w:top="1440" w:right="1800" w:bottom="1440" w:left="1800" w:header="851" w:footer="992" w:gutter="0"/>
          <w:pgNumType w:start="1"/>
          <w:cols w:space="720" w:num="1"/>
          <w:docGrid w:type="lines" w:linePitch="312" w:charSpace="0"/>
        </w:sectPr>
      </w:pPr>
    </w:p>
    <w:p w14:paraId="0015E283">
      <w:pPr>
        <w:pStyle w:val="58"/>
        <w:keepNext/>
        <w:keepLines w:val="0"/>
        <w:pageBreakBefore/>
        <w:widowControl/>
        <w:kinsoku/>
        <w:wordWrap/>
        <w:overflowPunct/>
        <w:topLinePunct w:val="0"/>
        <w:autoSpaceDE/>
        <w:autoSpaceDN/>
        <w:bidi w:val="0"/>
        <w:adjustRightInd/>
        <w:snapToGrid/>
        <w:spacing w:before="0" w:after="0" w:line="400" w:lineRule="exact"/>
        <w:textAlignment w:val="auto"/>
        <w:rPr>
          <w:rFonts w:hint="eastAsia" w:hAnsi="黑体" w:cs="黑体"/>
          <w:sz w:val="24"/>
          <w:highlight w:val="none"/>
        </w:rPr>
      </w:pPr>
      <w:bookmarkStart w:id="46" w:name="_Toc14902"/>
      <w:bookmarkStart w:id="47" w:name="_Toc4820"/>
      <w:bookmarkStart w:id="48" w:name="_Toc18614"/>
      <w:bookmarkStart w:id="49" w:name="_Toc27616"/>
      <w:bookmarkStart w:id="50" w:name="_Toc164238868"/>
      <w:bookmarkStart w:id="51" w:name="_Toc2793"/>
      <w:bookmarkStart w:id="52" w:name="_Toc17936"/>
      <w:bookmarkStart w:id="53" w:name="_Toc25238"/>
      <w:r>
        <w:rPr>
          <w:rFonts w:hint="eastAsia"/>
          <w:sz w:val="21"/>
          <w:szCs w:val="21"/>
          <w:highlight w:val="none"/>
        </w:rPr>
        <w:t>附录A</w:t>
      </w:r>
      <w:r>
        <w:rPr>
          <w:sz w:val="21"/>
          <w:szCs w:val="21"/>
          <w:highlight w:val="none"/>
        </w:rPr>
        <w:br w:type="textWrapping"/>
      </w:r>
      <w:r>
        <w:rPr>
          <w:rFonts w:hint="eastAsia"/>
          <w:sz w:val="21"/>
          <w:szCs w:val="21"/>
          <w:highlight w:val="none"/>
        </w:rPr>
        <w:t>（规范性）</w:t>
      </w:r>
      <w:r>
        <w:rPr>
          <w:sz w:val="21"/>
          <w:szCs w:val="21"/>
          <w:highlight w:val="none"/>
        </w:rPr>
        <w:br w:type="textWrapping"/>
      </w:r>
      <w:bookmarkEnd w:id="46"/>
      <w:bookmarkEnd w:id="47"/>
      <w:bookmarkEnd w:id="48"/>
      <w:bookmarkEnd w:id="49"/>
      <w:bookmarkEnd w:id="50"/>
      <w:bookmarkEnd w:id="51"/>
      <w:bookmarkEnd w:id="52"/>
      <w:bookmarkStart w:id="54" w:name="_Toc27861"/>
      <w:r>
        <w:rPr>
          <w:rFonts w:hint="eastAsia" w:hAnsi="黑体" w:cs="黑体"/>
          <w:sz w:val="24"/>
          <w:highlight w:val="none"/>
        </w:rPr>
        <w:t>玻璃微珠完好率和颗粒形貌试验方法</w:t>
      </w:r>
      <w:bookmarkEnd w:id="53"/>
      <w:bookmarkEnd w:id="54"/>
    </w:p>
    <w:p w14:paraId="2BAE3EBC">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范围</w:t>
      </w:r>
    </w:p>
    <w:p w14:paraId="160D0777">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本附录适用于</w:t>
      </w:r>
      <w:r>
        <w:rPr>
          <w:rFonts w:hint="eastAsia" w:ascii="宋体" w:hAnsi="Times New Roman" w:eastAsia="宋体" w:cs="Times New Roman"/>
          <w:szCs w:val="20"/>
          <w:highlight w:val="none"/>
          <w:lang w:val="en-US" w:eastAsia="zh-CN"/>
        </w:rPr>
        <w:t>物理改性</w:t>
      </w:r>
      <w:r>
        <w:rPr>
          <w:rFonts w:hint="eastAsia" w:ascii="宋体" w:hAnsi="Times New Roman" w:eastAsia="宋体" w:cs="Times New Roman"/>
          <w:szCs w:val="20"/>
          <w:highlight w:val="none"/>
        </w:rPr>
        <w:t>粉煤灰玻璃微珠完好率和颗粒形貌试验方法。</w:t>
      </w:r>
    </w:p>
    <w:p w14:paraId="06ACE05D">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原理</w:t>
      </w:r>
    </w:p>
    <w:p w14:paraId="6B3DDCCD">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按JY/T 0584测定</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粉煤灰的玻璃微珠含量，研磨整形后的粉煤灰中完好的玻璃微珠含量与所有的玻璃微珠含量之比为</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粉煤灰的玻璃微珠完好率。</w:t>
      </w:r>
    </w:p>
    <w:p w14:paraId="03DE652D">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按JY/T 0584测定</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粉煤灰的颗粒形貌，包括圆形度和长径比。圆形度为与颗粒投影面积相等的圆的周长与颗粒投影的周长之比。长径比为颗粒投影最小外接矩形的长与最小外接矩形的宽之比。</w:t>
      </w:r>
    </w:p>
    <w:p w14:paraId="75A83259">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材料</w:t>
      </w:r>
    </w:p>
    <w:p w14:paraId="47F6722B">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lang w:val="en-US" w:eastAsia="zh-CN"/>
        </w:rPr>
        <w:t>物理改性</w:t>
      </w:r>
      <w:r>
        <w:rPr>
          <w:rFonts w:hint="eastAsia" w:ascii="宋体" w:hAnsi="宋体" w:eastAsia="宋体" w:cs="宋体"/>
          <w:highlight w:val="none"/>
        </w:rPr>
        <w:t>粉煤灰：电厂粉煤灰原灰经研磨整形等方式加工得到的粉煤灰。</w:t>
      </w:r>
    </w:p>
    <w:p w14:paraId="66AD0D7B">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无水乙醇：符合GB/T 678规定。</w:t>
      </w:r>
    </w:p>
    <w:p w14:paraId="7B9F63F3">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仪器设备</w:t>
      </w:r>
    </w:p>
    <w:p w14:paraId="369AB8E3">
      <w:pPr>
        <w:numPr>
          <w:ilvl w:val="1"/>
          <w:numId w:val="2"/>
        </w:numPr>
        <w:spacing w:before="156" w:after="156"/>
        <w:ind w:left="0" w:firstLine="0"/>
        <w:rPr>
          <w:rFonts w:hint="eastAsia" w:ascii="黑体" w:hAnsi="黑体" w:eastAsia="黑体" w:cs="黑体"/>
          <w:highlight w:val="none"/>
        </w:rPr>
      </w:pPr>
      <w:r>
        <w:rPr>
          <w:rFonts w:hint="eastAsia" w:ascii="黑体" w:hAnsi="黑体" w:eastAsia="黑体" w:cs="黑体"/>
          <w:highlight w:val="none"/>
        </w:rPr>
        <w:t>冷场发射扫描电子显微镜</w:t>
      </w:r>
    </w:p>
    <w:p w14:paraId="1D9347C7">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符合JY/T 0584规定。</w:t>
      </w:r>
    </w:p>
    <w:p w14:paraId="4FE152B7">
      <w:pPr>
        <w:numPr>
          <w:ilvl w:val="1"/>
          <w:numId w:val="2"/>
        </w:numPr>
        <w:spacing w:before="156" w:after="156"/>
        <w:ind w:left="0" w:firstLine="0"/>
        <w:rPr>
          <w:rFonts w:hint="eastAsia" w:ascii="黑体" w:hAnsi="黑体" w:eastAsia="黑体" w:cs="黑体"/>
          <w:highlight w:val="none"/>
        </w:rPr>
      </w:pPr>
      <w:r>
        <w:rPr>
          <w:rFonts w:hint="eastAsia" w:ascii="黑体" w:hAnsi="黑体" w:eastAsia="黑体" w:cs="黑体"/>
          <w:highlight w:val="none"/>
        </w:rPr>
        <w:t>离子束溅射镀膜设备</w:t>
      </w:r>
    </w:p>
    <w:p w14:paraId="0EA6AB56">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符合</w:t>
      </w:r>
      <w:r>
        <w:rPr>
          <w:rFonts w:hint="eastAsia" w:ascii="宋体" w:hAnsi="Times New Roman" w:eastAsia="宋体" w:cs="Times New Roman"/>
          <w:szCs w:val="20"/>
          <w:highlight w:val="none"/>
        </w:rPr>
        <w:fldChar w:fldCharType="begin"/>
      </w:r>
      <w:r>
        <w:rPr>
          <w:rFonts w:hint="eastAsia" w:ascii="宋体" w:hAnsi="Times New Roman" w:eastAsia="宋体" w:cs="Times New Roman"/>
          <w:szCs w:val="20"/>
          <w:highlight w:val="none"/>
        </w:rPr>
        <w:instrText xml:space="preserve"> HYPERLINK "https://www.doc88.com/p-99829769060145.html" \t "https://cn.bing.com/_blank" </w:instrText>
      </w:r>
      <w:r>
        <w:rPr>
          <w:rFonts w:hint="eastAsia" w:ascii="宋体" w:hAnsi="Times New Roman" w:eastAsia="宋体" w:cs="Times New Roman"/>
          <w:szCs w:val="20"/>
          <w:highlight w:val="none"/>
        </w:rPr>
        <w:fldChar w:fldCharType="separate"/>
      </w:r>
      <w:r>
        <w:rPr>
          <w:rFonts w:hint="eastAsia" w:ascii="宋体" w:hAnsi="Times New Roman" w:eastAsia="宋体" w:cs="Times New Roman"/>
          <w:szCs w:val="20"/>
          <w:highlight w:val="none"/>
        </w:rPr>
        <w:t>SJ 21257规定</w:t>
      </w:r>
      <w:r>
        <w:rPr>
          <w:rFonts w:hint="eastAsia" w:ascii="宋体" w:hAnsi="Times New Roman" w:eastAsia="宋体" w:cs="Times New Roman"/>
          <w:szCs w:val="20"/>
          <w:highlight w:val="none"/>
        </w:rPr>
        <w:fldChar w:fldCharType="end"/>
      </w:r>
      <w:r>
        <w:rPr>
          <w:rFonts w:hint="eastAsia" w:ascii="宋体" w:hAnsi="Times New Roman" w:eastAsia="宋体" w:cs="Times New Roman"/>
          <w:szCs w:val="20"/>
          <w:highlight w:val="none"/>
        </w:rPr>
        <w:t>。</w:t>
      </w:r>
    </w:p>
    <w:p w14:paraId="3F96B970">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试验步骤</w:t>
      </w:r>
    </w:p>
    <w:p w14:paraId="095BED10">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称取约5g粉煤灰样品，通过100目筛网（孔径150</w:t>
      </w:r>
      <w:r>
        <w:rPr>
          <w:rFonts w:hint="default" w:ascii="Times New Roman" w:hAnsi="Times New Roman" w:eastAsia="宋体" w:cs="Times New Roman"/>
          <w:highlight w:val="none"/>
        </w:rPr>
        <w:t>μ</w:t>
      </w:r>
      <w:r>
        <w:rPr>
          <w:rFonts w:hint="eastAsia" w:ascii="宋体" w:hAnsi="宋体" w:eastAsia="宋体" w:cs="宋体"/>
          <w:highlight w:val="none"/>
        </w:rPr>
        <w:t>m）去除粗大颗粒。将筛下样品加入50mL无水乙醇中，超声分散10</w:t>
      </w:r>
      <w:r>
        <w:rPr>
          <w:rFonts w:hint="eastAsia" w:ascii="宋体" w:hAnsi="宋体" w:eastAsia="宋体" w:cs="宋体"/>
          <w:highlight w:val="none"/>
          <w:lang w:eastAsia="zh-CN"/>
        </w:rPr>
        <w:t>～</w:t>
      </w:r>
      <w:r>
        <w:rPr>
          <w:rFonts w:hint="eastAsia" w:ascii="宋体" w:hAnsi="宋体" w:eastAsia="宋体" w:cs="宋体"/>
          <w:highlight w:val="none"/>
        </w:rPr>
        <w:t>15min（频率30</w:t>
      </w:r>
      <w:r>
        <w:rPr>
          <w:rFonts w:hint="eastAsia" w:ascii="宋体" w:hAnsi="宋体" w:eastAsia="宋体" w:cs="宋体"/>
          <w:highlight w:val="none"/>
          <w:lang w:eastAsia="zh-CN"/>
        </w:rPr>
        <w:t>～</w:t>
      </w:r>
      <w:r>
        <w:rPr>
          <w:rFonts w:hint="eastAsia" w:ascii="宋体" w:hAnsi="宋体" w:eastAsia="宋体" w:cs="宋体"/>
          <w:highlight w:val="none"/>
        </w:rPr>
        <w:t>40kHz），使玻璃微珠与碎屑、晶体等杂质充分分散。用滴管吸取少量浓悬浊液，滴在双面碳导电胶带中央，自然晾干或用红外灯低温烘干（</w:t>
      </w:r>
      <w:r>
        <w:rPr>
          <w:rFonts w:hint="eastAsia" w:ascii="宋体" w:hAnsi="宋体" w:eastAsia="宋体" w:cs="宋体"/>
          <w:highlight w:val="none"/>
          <w:lang w:val="en-US" w:eastAsia="zh-CN"/>
        </w:rPr>
        <w:t>＜</w:t>
      </w:r>
      <w:r>
        <w:rPr>
          <w:rFonts w:hint="eastAsia" w:ascii="宋体" w:hAnsi="宋体" w:eastAsia="宋体" w:cs="宋体"/>
          <w:highlight w:val="none"/>
        </w:rPr>
        <w:t>50℃）。干燥后用洗耳球轻吹，去除未粘牢的颗粒，避免污染电镜。采用离子束溅射镀膜设备（真空度≤10</w:t>
      </w:r>
      <w:r>
        <w:rPr>
          <w:rFonts w:hint="eastAsia" w:ascii="宋体" w:hAnsi="宋体" w:eastAsia="宋体" w:cs="宋体"/>
          <w:highlight w:val="none"/>
          <w:vertAlign w:val="superscript"/>
          <w:lang w:val="en-US" w:eastAsia="zh-CN"/>
        </w:rPr>
        <w:t>-</w:t>
      </w:r>
      <w:r>
        <w:rPr>
          <w:rFonts w:hint="eastAsia" w:ascii="宋体" w:hAnsi="宋体" w:eastAsia="宋体" w:cs="宋体"/>
          <w:highlight w:val="none"/>
        </w:rPr>
        <w:t>²Pa）对样品喷金1</w:t>
      </w:r>
      <w:r>
        <w:rPr>
          <w:rFonts w:hint="eastAsia" w:ascii="宋体" w:hAnsi="宋体" w:eastAsia="宋体" w:cs="宋体"/>
          <w:highlight w:val="none"/>
          <w:lang w:eastAsia="zh-CN"/>
        </w:rPr>
        <w:t>～</w:t>
      </w:r>
      <w:r>
        <w:rPr>
          <w:rFonts w:hint="eastAsia" w:ascii="宋体" w:hAnsi="宋体" w:eastAsia="宋体" w:cs="宋体"/>
          <w:highlight w:val="none"/>
        </w:rPr>
        <w:t>2min（膜厚约10nm）。</w:t>
      </w:r>
    </w:p>
    <w:p w14:paraId="05C57A20">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设置冷场发射扫描电子显微镜仪器参数为：加速电压10</w:t>
      </w:r>
      <w:r>
        <w:rPr>
          <w:rFonts w:hint="eastAsia" w:ascii="宋体" w:hAnsi="宋体" w:eastAsia="宋体" w:cs="宋体"/>
          <w:highlight w:val="none"/>
          <w:lang w:eastAsia="zh-CN"/>
        </w:rPr>
        <w:t>～</w:t>
      </w:r>
      <w:r>
        <w:rPr>
          <w:rFonts w:hint="eastAsia" w:ascii="宋体" w:hAnsi="宋体" w:eastAsia="宋体" w:cs="宋体"/>
          <w:highlight w:val="none"/>
        </w:rPr>
        <w:t>15kV，工作距离8</w:t>
      </w:r>
      <w:r>
        <w:rPr>
          <w:rFonts w:hint="eastAsia" w:ascii="宋体" w:hAnsi="宋体" w:eastAsia="宋体" w:cs="宋体"/>
          <w:highlight w:val="none"/>
          <w:lang w:eastAsia="zh-CN"/>
        </w:rPr>
        <w:t>～</w:t>
      </w:r>
      <w:r>
        <w:rPr>
          <w:rFonts w:hint="eastAsia" w:ascii="宋体" w:hAnsi="宋体" w:eastAsia="宋体" w:cs="宋体"/>
          <w:highlight w:val="none"/>
        </w:rPr>
        <w:t>10mm，二次电子（SE）扫描模式。</w:t>
      </w:r>
    </w:p>
    <w:p w14:paraId="0CB68DB2">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在低放大倍数（如500×）下扫描整个样品台，寻找颗粒分布均匀的区域，拍摄清晰形貌照片。采用Image</w:t>
      </w:r>
      <w:r>
        <w:rPr>
          <w:rFonts w:hint="eastAsia" w:ascii="宋体" w:hAnsi="宋体" w:eastAsia="宋体" w:cs="宋体"/>
          <w:highlight w:val="none"/>
          <w:lang w:val="en-US" w:eastAsia="zh-CN"/>
        </w:rPr>
        <w:t xml:space="preserve"> </w:t>
      </w:r>
      <w:r>
        <w:rPr>
          <w:rFonts w:hint="eastAsia" w:ascii="宋体" w:hAnsi="宋体" w:eastAsia="宋体" w:cs="宋体"/>
          <w:highlight w:val="none"/>
        </w:rPr>
        <w:t>J、Photoshop或专业金相分析软件（如Meta</w:t>
      </w:r>
      <w:r>
        <w:rPr>
          <w:rFonts w:hint="eastAsia" w:ascii="宋体" w:hAnsi="宋体" w:eastAsia="宋体" w:cs="宋体"/>
          <w:highlight w:val="none"/>
          <w:lang w:val="en-US" w:eastAsia="zh-CN"/>
        </w:rPr>
        <w:t xml:space="preserve"> </w:t>
      </w:r>
      <w:r>
        <w:rPr>
          <w:rFonts w:hint="eastAsia" w:ascii="宋体" w:hAnsi="宋体" w:eastAsia="宋体" w:cs="宋体"/>
          <w:highlight w:val="none"/>
        </w:rPr>
        <w:t>Morph），根据图像对比度，设定阈值区分颗粒与背景（黑色为背景，白色为</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粉煤灰玻璃微珠颗粒），利用软件的“颗粒分析”功能，自动识别圆球形颗粒数量N</w:t>
      </w:r>
      <w:r>
        <w:rPr>
          <w:rFonts w:hint="eastAsia" w:ascii="宋体" w:hAnsi="宋体" w:eastAsia="宋体" w:cs="宋体"/>
          <w:highlight w:val="none"/>
          <w:vertAlign w:val="subscript"/>
        </w:rPr>
        <w:t>1</w:t>
      </w:r>
      <w:r>
        <w:rPr>
          <w:rFonts w:hint="eastAsia" w:ascii="宋体" w:hAnsi="宋体" w:eastAsia="宋体" w:cs="宋体"/>
          <w:highlight w:val="none"/>
        </w:rPr>
        <w:t>（设定圆形度参数：0.8</w:t>
      </w:r>
      <w:r>
        <w:rPr>
          <w:rFonts w:hint="eastAsia" w:ascii="宋体" w:hAnsi="宋体" w:eastAsia="宋体" w:cs="宋体"/>
          <w:highlight w:val="none"/>
          <w:lang w:eastAsia="zh-CN"/>
        </w:rPr>
        <w:t>～</w:t>
      </w:r>
      <w:r>
        <w:rPr>
          <w:rFonts w:hint="eastAsia" w:ascii="宋体" w:hAnsi="宋体" w:eastAsia="宋体" w:cs="宋体"/>
          <w:highlight w:val="none"/>
        </w:rPr>
        <w:t>1.0，接近完美球形）和玻璃微珠总颗粒数量N，计算</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粉煤灰的玻璃微珠完好率。</w:t>
      </w:r>
    </w:p>
    <w:p w14:paraId="1CC35977">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选取完好的玻璃微珠颗粒，切换至高放大倍数（如5000×</w:t>
      </w:r>
      <w:r>
        <w:rPr>
          <w:rFonts w:hint="eastAsia" w:ascii="宋体" w:hAnsi="宋体" w:eastAsia="宋体" w:cs="宋体"/>
          <w:highlight w:val="none"/>
          <w:lang w:val="en-US" w:eastAsia="zh-CN"/>
        </w:rPr>
        <w:t>～</w:t>
      </w:r>
      <w:r>
        <w:rPr>
          <w:rFonts w:hint="eastAsia" w:ascii="宋体" w:hAnsi="宋体" w:eastAsia="宋体" w:cs="宋体"/>
          <w:highlight w:val="none"/>
        </w:rPr>
        <w:t>10000×），拍摄清晰形貌照片。对拍摄的照片进行预处理，将数码图像转变成二维化图形，获取颗粒投影面积S、投影周长p及投影最小外接矩形的长b和宽a，如</w:t>
      </w:r>
      <w:r>
        <w:rPr>
          <w:rFonts w:hint="eastAsia" w:ascii="宋体" w:hAnsi="宋体" w:eastAsia="宋体" w:cs="宋体"/>
          <w:highlight w:val="none"/>
        </w:rPr>
        <w:fldChar w:fldCharType="begin"/>
      </w:r>
      <w:r>
        <w:rPr>
          <w:rFonts w:hint="eastAsia" w:ascii="宋体" w:hAnsi="宋体" w:eastAsia="宋体" w:cs="宋体"/>
          <w:highlight w:val="none"/>
        </w:rPr>
        <w:instrText xml:space="preserve"> REF _Ref2586 \h </w:instrText>
      </w:r>
      <w:r>
        <w:rPr>
          <w:rFonts w:hint="eastAsia" w:ascii="宋体" w:hAnsi="宋体" w:eastAsia="宋体" w:cs="宋体"/>
          <w:highlight w:val="none"/>
        </w:rPr>
        <w:fldChar w:fldCharType="separate"/>
      </w:r>
      <w:r>
        <w:rPr>
          <w:rFonts w:hint="eastAsia" w:ascii="宋体" w:hAnsi="宋体" w:eastAsia="宋体" w:cs="宋体"/>
          <w:sz w:val="21"/>
          <w:highlight w:val="none"/>
        </w:rPr>
        <w:t>图A.1</w:t>
      </w:r>
      <w:r>
        <w:rPr>
          <w:rFonts w:hint="eastAsia" w:ascii="宋体" w:hAnsi="宋体" w:eastAsia="宋体" w:cs="宋体"/>
          <w:highlight w:val="none"/>
        </w:rPr>
        <w:fldChar w:fldCharType="end"/>
      </w:r>
      <w:r>
        <w:rPr>
          <w:rFonts w:hint="eastAsia" w:ascii="宋体" w:hAnsi="宋体" w:eastAsia="宋体" w:cs="宋体"/>
          <w:highlight w:val="none"/>
        </w:rPr>
        <w:t>所示，计算</w:t>
      </w:r>
      <w:r>
        <w:rPr>
          <w:rFonts w:hint="eastAsia" w:ascii="宋体" w:hAnsi="宋体" w:eastAsia="宋体" w:cs="宋体"/>
          <w:highlight w:val="none"/>
          <w:lang w:val="en-US" w:eastAsia="zh-CN"/>
        </w:rPr>
        <w:t>物理改性</w:t>
      </w:r>
      <w:r>
        <w:rPr>
          <w:rFonts w:hint="eastAsia" w:ascii="宋体" w:hAnsi="宋体" w:eastAsia="宋体" w:cs="宋体"/>
          <w:highlight w:val="none"/>
        </w:rPr>
        <w:t>粉煤灰的圆形度和长径比。</w:t>
      </w:r>
    </w:p>
    <w:p w14:paraId="729DB2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highlight w:val="none"/>
        </w:rPr>
      </w:pPr>
      <w:r>
        <w:rPr>
          <w:highlight w:val="none"/>
        </w:rPr>
        <w:drawing>
          <wp:inline distT="0" distB="0" distL="114300" distR="114300">
            <wp:extent cx="3119755" cy="1258570"/>
            <wp:effectExtent l="0" t="0" r="4445" b="635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3119755" cy="1258570"/>
                    </a:xfrm>
                    <a:prstGeom prst="rect">
                      <a:avLst/>
                    </a:prstGeom>
                    <a:noFill/>
                    <a:ln>
                      <a:noFill/>
                    </a:ln>
                  </pic:spPr>
                </pic:pic>
              </a:graphicData>
            </a:graphic>
          </wp:inline>
        </w:drawing>
      </w:r>
    </w:p>
    <w:p w14:paraId="27D0F066">
      <w:pPr>
        <w:pStyle w:val="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highlight w:val="none"/>
        </w:rPr>
      </w:pPr>
      <w:bookmarkStart w:id="55" w:name="_Ref2586"/>
      <w:r>
        <w:rPr>
          <w:rFonts w:hint="eastAsia" w:ascii="宋体" w:hAnsi="宋体" w:eastAsia="宋体" w:cs="宋体"/>
          <w:sz w:val="21"/>
          <w:highlight w:val="none"/>
        </w:rPr>
        <w:t>图A.</w:t>
      </w:r>
      <w:r>
        <w:rPr>
          <w:rFonts w:hint="eastAsia" w:ascii="宋体" w:hAnsi="宋体" w:eastAsia="宋体" w:cs="宋体"/>
          <w:sz w:val="21"/>
          <w:highlight w:val="none"/>
        </w:rPr>
        <w:fldChar w:fldCharType="begin"/>
      </w:r>
      <w:r>
        <w:rPr>
          <w:rFonts w:hint="eastAsia" w:ascii="宋体" w:hAnsi="宋体" w:eastAsia="宋体" w:cs="宋体"/>
          <w:sz w:val="21"/>
          <w:highlight w:val="none"/>
        </w:rPr>
        <w:instrText xml:space="preserve"> SEQ 图A. \* ARABIC </w:instrText>
      </w:r>
      <w:r>
        <w:rPr>
          <w:rFonts w:hint="eastAsia" w:ascii="宋体" w:hAnsi="宋体" w:eastAsia="宋体" w:cs="宋体"/>
          <w:sz w:val="21"/>
          <w:highlight w:val="none"/>
        </w:rPr>
        <w:fldChar w:fldCharType="separate"/>
      </w:r>
      <w:r>
        <w:rPr>
          <w:rFonts w:hint="eastAsia" w:ascii="宋体" w:hAnsi="宋体" w:eastAsia="宋体" w:cs="宋体"/>
          <w:sz w:val="21"/>
          <w:highlight w:val="none"/>
        </w:rPr>
        <w:t>1</w:t>
      </w:r>
      <w:r>
        <w:rPr>
          <w:rFonts w:hint="eastAsia" w:ascii="宋体" w:hAnsi="宋体" w:eastAsia="宋体" w:cs="宋体"/>
          <w:sz w:val="21"/>
          <w:highlight w:val="none"/>
        </w:rPr>
        <w:fldChar w:fldCharType="end"/>
      </w:r>
      <w:bookmarkEnd w:id="55"/>
      <w:r>
        <w:rPr>
          <w:rFonts w:hint="eastAsia" w:ascii="宋体" w:hAnsi="宋体" w:eastAsia="宋体" w:cs="宋体"/>
          <w:sz w:val="21"/>
          <w:highlight w:val="none"/>
        </w:rPr>
        <w:t xml:space="preserve"> 颗粒数字图像的二维化处理结果示意图</w:t>
      </w:r>
    </w:p>
    <w:p w14:paraId="7AA542FE">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textAlignment w:val="auto"/>
        <w:rPr>
          <w:rFonts w:hint="eastAsia" w:ascii="黑体" w:hAnsi="黑体" w:eastAsia="黑体" w:cs="黑体"/>
          <w:highlight w:val="none"/>
        </w:rPr>
      </w:pPr>
      <w:r>
        <w:rPr>
          <w:rFonts w:hint="eastAsia" w:ascii="黑体" w:hAnsi="黑体" w:eastAsia="黑体" w:cs="黑体"/>
          <w:highlight w:val="none"/>
        </w:rPr>
        <w:t>结果计算</w:t>
      </w:r>
    </w:p>
    <w:p w14:paraId="0BAB8373">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玻璃微珠完好率按式（A.1）计算，结果保留至1%。</w:t>
      </w:r>
    </w:p>
    <w:p w14:paraId="4A12F62D">
      <w:pPr>
        <w:keepNext w:val="0"/>
        <w:keepLines w:val="0"/>
        <w:pageBreakBefore w:val="0"/>
        <w:kinsoku/>
        <w:wordWrap/>
        <w:overflowPunct/>
        <w:topLinePunct w:val="0"/>
        <w:autoSpaceDE/>
        <w:autoSpaceDN/>
        <w:bidi w:val="0"/>
        <w:adjustRightInd/>
        <w:snapToGrid/>
        <w:spacing w:line="240" w:lineRule="auto"/>
        <w:jc w:val="right"/>
        <w:textAlignment w:val="auto"/>
        <w:rPr>
          <w:highlight w:val="none"/>
        </w:rPr>
      </w:pPr>
      <m:oMath>
        <m:r>
          <m:rPr>
            <m:sty m:val="p"/>
          </m:rPr>
          <w:rPr>
            <w:rFonts w:hint="default" w:ascii="Cambria Math" w:hAnsi="Cambria Math"/>
            <w:highlight w:val="none"/>
          </w:rPr>
          <m:t>Q=</m:t>
        </m:r>
        <m:f>
          <m:fPr>
            <m:ctrlPr>
              <w:rPr>
                <w:rFonts w:hint="default" w:ascii="Cambria Math" w:hAnsi="Cambria Math"/>
                <w:highlight w:val="none"/>
              </w:rPr>
            </m:ctrlPr>
          </m:fPr>
          <m:num>
            <m:sSub>
              <m:sSubPr>
                <m:ctrlPr>
                  <w:rPr>
                    <w:rFonts w:hint="default" w:ascii="Cambria Math" w:hAnsi="Cambria Math"/>
                    <w:highlight w:val="none"/>
                  </w:rPr>
                </m:ctrlPr>
              </m:sSubPr>
              <m:e>
                <m:r>
                  <m:rPr>
                    <m:sty m:val="p"/>
                  </m:rPr>
                  <w:rPr>
                    <w:rFonts w:hint="default" w:ascii="Cambria Math" w:hAnsi="Cambria Math"/>
                    <w:highlight w:val="none"/>
                  </w:rPr>
                  <m:t>N</m:t>
                </m:r>
                <m:ctrlPr>
                  <w:rPr>
                    <w:rFonts w:hint="default" w:ascii="Cambria Math" w:hAnsi="Cambria Math"/>
                    <w:highlight w:val="none"/>
                  </w:rPr>
                </m:ctrlPr>
              </m:e>
              <m:sub>
                <m:r>
                  <m:rPr>
                    <m:sty m:val="p"/>
                  </m:rPr>
                  <w:rPr>
                    <w:rFonts w:hint="default" w:ascii="Cambria Math" w:hAnsi="Cambria Math"/>
                    <w:highlight w:val="none"/>
                  </w:rPr>
                  <m:t>1</m:t>
                </m:r>
                <m:ctrlPr>
                  <w:rPr>
                    <w:rFonts w:hint="default" w:ascii="Cambria Math" w:hAnsi="Cambria Math"/>
                    <w:highlight w:val="none"/>
                  </w:rPr>
                </m:ctrlPr>
              </m:sub>
            </m:sSub>
            <m:ctrlPr>
              <w:rPr>
                <w:rFonts w:hint="default" w:ascii="Cambria Math" w:hAnsi="Cambria Math"/>
                <w:highlight w:val="none"/>
              </w:rPr>
            </m:ctrlPr>
          </m:num>
          <m:den>
            <m:r>
              <m:rPr>
                <m:sty m:val="p"/>
              </m:rPr>
              <w:rPr>
                <w:rFonts w:hint="default" w:ascii="Cambria Math" w:hAnsi="Cambria Math"/>
                <w:highlight w:val="none"/>
              </w:rPr>
              <m:t>N</m:t>
            </m:r>
            <m:ctrlPr>
              <w:rPr>
                <w:rFonts w:hint="default" w:ascii="Cambria Math" w:hAnsi="Cambria Math"/>
                <w:highlight w:val="none"/>
              </w:rPr>
            </m:ctrlPr>
          </m:den>
        </m:f>
      </m:oMath>
      <w:r>
        <w:rPr>
          <w:rFonts w:hint="eastAsia"/>
          <w:highlight w:val="none"/>
        </w:rPr>
        <w:t xml:space="preserve">                           （A.1）</w:t>
      </w:r>
    </w:p>
    <w:p w14:paraId="192C7C5C">
      <w:pPr>
        <w:pStyle w:val="40"/>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式中：</w:t>
      </w:r>
    </w:p>
    <w:p w14:paraId="44D90F6B">
      <w:pPr>
        <w:pStyle w:val="40"/>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Q ——玻璃微珠完好率，%；</w:t>
      </w:r>
    </w:p>
    <w:p w14:paraId="1DE5313D">
      <w:pPr>
        <w:pStyle w:val="40"/>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N</w:t>
      </w:r>
      <w:r>
        <w:rPr>
          <w:rFonts w:hint="eastAsia" w:ascii="宋体" w:hAnsi="Times New Roman" w:eastAsia="宋体" w:cs="Times New Roman"/>
          <w:szCs w:val="20"/>
          <w:highlight w:val="none"/>
          <w:vertAlign w:val="subscript"/>
        </w:rPr>
        <w:t>1</w:t>
      </w:r>
      <w:r>
        <w:rPr>
          <w:rFonts w:hint="eastAsia" w:ascii="宋体" w:hAnsi="Times New Roman" w:eastAsia="宋体" w:cs="Times New Roman"/>
          <w:szCs w:val="20"/>
          <w:highlight w:val="none"/>
        </w:rPr>
        <w:t>——圆球形玻璃微珠颗粒数；</w:t>
      </w:r>
    </w:p>
    <w:p w14:paraId="17A4B27B">
      <w:pPr>
        <w:pStyle w:val="40"/>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N ——玻璃微珠总颗粒数。</w:t>
      </w:r>
    </w:p>
    <w:p w14:paraId="41D7729F">
      <w:pPr>
        <w:keepNext w:val="0"/>
        <w:keepLines w:val="0"/>
        <w:pageBreakBefore w:val="0"/>
        <w:widowControl w:val="0"/>
        <w:numPr>
          <w:ilvl w:val="1"/>
          <w:numId w:val="2"/>
        </w:numPr>
        <w:kinsoku/>
        <w:wordWrap/>
        <w:overflowPunct/>
        <w:topLinePunct w:val="0"/>
        <w:autoSpaceDE/>
        <w:autoSpaceDN/>
        <w:bidi w:val="0"/>
        <w:adjustRightInd/>
        <w:snapToGrid/>
        <w:spacing w:line="400" w:lineRule="exact"/>
        <w:ind w:left="0" w:firstLine="0"/>
        <w:textAlignment w:val="auto"/>
        <w:rPr>
          <w:rFonts w:hint="eastAsia" w:ascii="宋体" w:hAnsi="宋体" w:eastAsia="宋体" w:cs="宋体"/>
          <w:highlight w:val="none"/>
        </w:rPr>
      </w:pPr>
      <w:r>
        <w:rPr>
          <w:rFonts w:hint="eastAsia" w:ascii="宋体" w:hAnsi="宋体" w:eastAsia="宋体" w:cs="宋体"/>
          <w:highlight w:val="none"/>
        </w:rPr>
        <w:t>圆形度按式（A.2）计算。</w:t>
      </w:r>
    </w:p>
    <w:p w14:paraId="15C68D28">
      <w:pPr>
        <w:jc w:val="right"/>
        <w:rPr>
          <w:highlight w:val="none"/>
        </w:rPr>
      </w:pPr>
      <m:oMath>
        <m:r>
          <m:rPr>
            <m:sty m:val="p"/>
          </m:rPr>
          <w:rPr>
            <w:rFonts w:hint="default" w:ascii="Cambria Math" w:hAnsi="Cambria Math"/>
            <w:highlight w:val="none"/>
          </w:rPr>
          <m:t>C=</m:t>
        </m:r>
        <m:f>
          <m:fPr>
            <m:ctrlPr>
              <w:rPr>
                <w:rFonts w:hint="default" w:ascii="Cambria Math" w:hAnsi="Cambria Math"/>
                <w:highlight w:val="none"/>
              </w:rPr>
            </m:ctrlPr>
          </m:fPr>
          <m:num>
            <m:r>
              <m:rPr>
                <m:sty m:val="p"/>
              </m:rPr>
              <w:rPr>
                <w:rFonts w:hint="default" w:ascii="Cambria Math" w:hAnsi="Cambria Math"/>
                <w:highlight w:val="none"/>
              </w:rPr>
              <m:t>2</m:t>
            </m:r>
            <m:rad>
              <m:radPr>
                <m:degHide m:val="1"/>
                <m:ctrlPr>
                  <w:rPr>
                    <w:rFonts w:hint="default" w:ascii="Cambria Math" w:hAnsi="Cambria Math"/>
                    <w:highlight w:val="none"/>
                  </w:rPr>
                </m:ctrlPr>
              </m:radPr>
              <m:deg>
                <m:ctrlPr>
                  <w:rPr>
                    <w:rFonts w:hint="default" w:ascii="Cambria Math" w:hAnsi="Cambria Math"/>
                    <w:highlight w:val="none"/>
                  </w:rPr>
                </m:ctrlPr>
              </m:deg>
              <m:e>
                <m:r>
                  <m:rPr>
                    <m:sty m:val="p"/>
                  </m:rPr>
                  <w:rPr>
                    <w:rFonts w:hint="default" w:ascii="Cambria Math" w:hAnsi="Cambria Math"/>
                    <w:highlight w:val="none"/>
                  </w:rPr>
                  <m:t>πS</m:t>
                </m:r>
                <m:ctrlPr>
                  <w:rPr>
                    <w:rFonts w:hint="default" w:ascii="Cambria Math" w:hAnsi="Cambria Math"/>
                    <w:highlight w:val="none"/>
                  </w:rPr>
                </m:ctrlPr>
              </m:e>
            </m:rad>
            <m:ctrlPr>
              <w:rPr>
                <w:rFonts w:hint="default" w:ascii="Cambria Math" w:hAnsi="Cambria Math"/>
                <w:highlight w:val="none"/>
              </w:rPr>
            </m:ctrlPr>
          </m:num>
          <m:den>
            <m:r>
              <m:rPr>
                <m:sty m:val="p"/>
              </m:rPr>
              <w:rPr>
                <w:rFonts w:hint="default" w:ascii="Cambria Math" w:hAnsi="Cambria Math"/>
                <w:highlight w:val="none"/>
              </w:rPr>
              <m:t>p</m:t>
            </m:r>
            <m:ctrlPr>
              <w:rPr>
                <w:rFonts w:hint="default" w:ascii="Cambria Math" w:hAnsi="Cambria Math"/>
                <w:highlight w:val="none"/>
              </w:rPr>
            </m:ctrlPr>
          </m:den>
        </m:f>
      </m:oMath>
      <w:r>
        <w:rPr>
          <w:rFonts w:hint="eastAsia"/>
          <w:highlight w:val="none"/>
        </w:rPr>
        <w:t xml:space="preserve">                          （A.2）</w:t>
      </w:r>
    </w:p>
    <w:p w14:paraId="61DB566E">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式中：</w:t>
      </w:r>
    </w:p>
    <w:p w14:paraId="30FA4F55">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C——圆形度；</w:t>
      </w:r>
    </w:p>
    <w:p w14:paraId="1A0A9562">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S——颗粒的投影面积，单位为平方毫米（mm</w:t>
      </w:r>
      <w:r>
        <w:rPr>
          <w:rFonts w:hint="eastAsia" w:ascii="宋体" w:hAnsi="Times New Roman" w:eastAsia="宋体" w:cs="Times New Roman"/>
          <w:szCs w:val="20"/>
          <w:highlight w:val="none"/>
          <w:vertAlign w:val="superscript"/>
        </w:rPr>
        <w:t>2</w:t>
      </w:r>
      <w:r>
        <w:rPr>
          <w:rFonts w:hint="eastAsia" w:ascii="宋体" w:hAnsi="Times New Roman" w:eastAsia="宋体" w:cs="Times New Roman"/>
          <w:szCs w:val="20"/>
          <w:highlight w:val="none"/>
        </w:rPr>
        <w:t>）；</w:t>
      </w:r>
    </w:p>
    <w:p w14:paraId="4D812DA6">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P——颗粒投影周长，单位为毫米（mm）。</w:t>
      </w:r>
    </w:p>
    <w:p w14:paraId="437F3592">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长径比按式（A.3）计算。</w:t>
      </w:r>
    </w:p>
    <w:p w14:paraId="3A56DC69">
      <w:pPr>
        <w:jc w:val="right"/>
        <w:rPr>
          <w:highlight w:val="none"/>
        </w:rPr>
      </w:pPr>
      <m:oMath>
        <m:sSub>
          <m:sSubPr>
            <m:ctrlPr>
              <w:rPr>
                <w:rFonts w:hint="default" w:ascii="Cambria Math" w:hAnsi="Cambria Math"/>
                <w:i/>
                <w:highlight w:val="none"/>
              </w:rPr>
            </m:ctrlPr>
          </m:sSubPr>
          <m:e>
            <m:r>
              <m:rPr/>
              <w:rPr>
                <w:rFonts w:hint="default" w:ascii="Cambria Math" w:hAnsi="Cambria Math"/>
                <w:highlight w:val="none"/>
              </w:rPr>
              <m:t>L</m:t>
            </m:r>
            <m:ctrlPr>
              <w:rPr>
                <w:rFonts w:hint="default" w:ascii="Cambria Math" w:hAnsi="Cambria Math"/>
                <w:i/>
                <w:highlight w:val="none"/>
              </w:rPr>
            </m:ctrlPr>
          </m:e>
          <m:sub>
            <m:r>
              <m:rPr/>
              <w:rPr>
                <w:rFonts w:hint="default" w:ascii="Cambria Math" w:hAnsi="Cambria Math"/>
                <w:highlight w:val="none"/>
              </w:rPr>
              <m:t>w</m:t>
            </m:r>
            <m:ctrlPr>
              <w:rPr>
                <w:rFonts w:hint="default" w:ascii="Cambria Math" w:hAnsi="Cambria Math"/>
                <w:i/>
                <w:highlight w:val="none"/>
              </w:rPr>
            </m:ctrlPr>
          </m:sub>
        </m:sSub>
        <m:r>
          <m:rPr/>
          <w:rPr>
            <w:rFonts w:hint="default" w:ascii="Cambria Math" w:hAnsi="Cambria Math"/>
            <w:highlight w:val="none"/>
          </w:rPr>
          <m:t>=</m:t>
        </m:r>
        <m:f>
          <m:fPr>
            <m:ctrlPr>
              <w:rPr>
                <w:rFonts w:hint="default" w:ascii="Cambria Math" w:hAnsi="Cambria Math"/>
                <w:i/>
                <w:highlight w:val="none"/>
              </w:rPr>
            </m:ctrlPr>
          </m:fPr>
          <m:num>
            <m:r>
              <m:rPr/>
              <w:rPr>
                <w:rFonts w:hint="default" w:ascii="Cambria Math" w:hAnsi="Cambria Math"/>
                <w:highlight w:val="none"/>
              </w:rPr>
              <m:t>b</m:t>
            </m:r>
            <m:ctrlPr>
              <w:rPr>
                <w:rFonts w:hint="default" w:ascii="Cambria Math" w:hAnsi="Cambria Math"/>
                <w:i/>
                <w:highlight w:val="none"/>
              </w:rPr>
            </m:ctrlPr>
          </m:num>
          <m:den>
            <m:r>
              <m:rPr/>
              <w:rPr>
                <w:rFonts w:hint="default" w:ascii="Cambria Math" w:hAnsi="Cambria Math"/>
                <w:highlight w:val="none"/>
              </w:rPr>
              <m:t>a</m:t>
            </m:r>
            <m:ctrlPr>
              <w:rPr>
                <w:rFonts w:hint="default" w:ascii="Cambria Math" w:hAnsi="Cambria Math"/>
                <w:i/>
                <w:highlight w:val="none"/>
              </w:rPr>
            </m:ctrlPr>
          </m:den>
        </m:f>
      </m:oMath>
      <w:r>
        <w:rPr>
          <w:rFonts w:hint="eastAsia"/>
          <w:highlight w:val="none"/>
        </w:rPr>
        <w:t xml:space="preserve">                           （A.3）</w:t>
      </w:r>
    </w:p>
    <w:p w14:paraId="505E1365">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式中：</w:t>
      </w:r>
    </w:p>
    <w:p w14:paraId="36EFE351">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L</w:t>
      </w:r>
      <w:r>
        <w:rPr>
          <w:rFonts w:hint="eastAsia" w:ascii="宋体" w:hAnsi="Times New Roman" w:eastAsia="宋体" w:cs="Times New Roman"/>
          <w:szCs w:val="20"/>
          <w:highlight w:val="none"/>
          <w:vertAlign w:val="subscript"/>
        </w:rPr>
        <w:t>w</w:t>
      </w:r>
      <w:r>
        <w:rPr>
          <w:rFonts w:hint="eastAsia" w:ascii="宋体" w:hAnsi="Times New Roman" w:eastAsia="宋体" w:cs="Times New Roman"/>
          <w:szCs w:val="20"/>
          <w:highlight w:val="none"/>
        </w:rPr>
        <w:t>——长径比；</w:t>
      </w:r>
    </w:p>
    <w:p w14:paraId="030C218C">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S——颗粒投影最小外接矩形的宽，单位为毫米（mm）；</w:t>
      </w:r>
    </w:p>
    <w:p w14:paraId="61B0A5F7">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P——颗粒投影最小外接矩形的长，单位为毫米（mm）。</w:t>
      </w:r>
    </w:p>
    <w:p w14:paraId="1C5427D2">
      <w:pPr>
        <w:pStyle w:val="40"/>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Times New Roman" w:eastAsia="宋体" w:cs="Times New Roman"/>
          <w:szCs w:val="20"/>
          <w:highlight w:val="none"/>
        </w:rPr>
      </w:pPr>
      <w:r>
        <w:rPr>
          <w:rFonts w:hint="eastAsia" w:ascii="宋体" w:hAnsi="Times New Roman" w:eastAsia="宋体" w:cs="Times New Roman"/>
          <w:szCs w:val="20"/>
          <w:highlight w:val="none"/>
        </w:rPr>
        <w:t>圆形度和长径比取两次试验结果的算术平均值，精确至0.01。</w:t>
      </w:r>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norBidi">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EAEB7">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3DB14">
    <w:pPr>
      <w:pStyle w:val="13"/>
      <w:jc w:val="right"/>
    </w:pPr>
    <w:r>
      <w:fldChar w:fldCharType="begin"/>
    </w:r>
    <w:r>
      <w:instrText xml:space="preserve"> PAGE   \* MERGEFORMAT </w:instrText>
    </w:r>
    <w:r>
      <w:fldChar w:fldCharType="separate"/>
    </w:r>
    <w:r>
      <w:rPr>
        <w:lang w:val="zh-CN"/>
      </w:rPr>
      <w:t>7</w:t>
    </w:r>
    <w:r>
      <w:fldChar w:fldCharType="end"/>
    </w:r>
  </w:p>
  <w:p w14:paraId="640CD31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51F19">
    <w:pPr>
      <w:wordWrap w:val="0"/>
      <w:spacing w:line="200" w:lineRule="exact"/>
      <w:jc w:val="right"/>
      <w:rPr>
        <w:rFonts w:hint="default" w:ascii="Times New Roman" w:hAnsi="Times New Roman" w:eastAsia="宋体" w:cs="Times New Roman"/>
        <w:highlight w:val="none"/>
      </w:rPr>
    </w:pPr>
    <w:r>
      <w:rPr>
        <w:rFonts w:hint="default" w:ascii="Times New Roman" w:hAnsi="Times New Roman" w:eastAsia="宋体" w:cs="Times New Roman"/>
        <w:szCs w:val="21"/>
        <w:highlight w:val="none"/>
      </w:rPr>
      <w:t xml:space="preserve">T/CBMF </w:t>
    </w:r>
    <w:r>
      <w:rPr>
        <w:rFonts w:hint="default" w:ascii="Times New Roman" w:hAnsi="Times New Roman" w:eastAsia="宋体" w:cs="Times New Roman"/>
        <w:szCs w:val="21"/>
        <w:highlight w:val="none"/>
        <w:lang w:val="en-US" w:eastAsia="zh-CN"/>
      </w:rPr>
      <w:t>××</w:t>
    </w:r>
    <w:r>
      <w:rPr>
        <w:rFonts w:hint="default" w:ascii="Times New Roman" w:hAnsi="Times New Roman" w:eastAsia="宋体" w:cs="Times New Roman"/>
        <w:szCs w:val="21"/>
        <w:highlight w:val="none"/>
      </w:rPr>
      <w:t>-20</w:t>
    </w:r>
    <w:r>
      <w:rPr>
        <w:rFonts w:hint="default" w:ascii="Times New Roman" w:hAnsi="Times New Roman" w:eastAsia="宋体" w:cs="Times New Roman"/>
        <w:szCs w:val="21"/>
        <w:highlight w:val="none"/>
        <w:lang w:val="en-US"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4AD50">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71D4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1F3F0"/>
    <w:multiLevelType w:val="multilevel"/>
    <w:tmpl w:val="A221F3F0"/>
    <w:lvl w:ilvl="0" w:tentative="0">
      <w:start w:val="1"/>
      <w:numFmt w:val="decimal"/>
      <w:lvlText w:val="A.%1"/>
      <w:lvlJc w:val="left"/>
      <w:pPr>
        <w:ind w:left="425" w:hanging="425"/>
      </w:pPr>
      <w:rPr>
        <w:rFonts w:hint="default"/>
      </w:rPr>
    </w:lvl>
    <w:lvl w:ilvl="1" w:tentative="0">
      <w:start w:val="1"/>
      <w:numFmt w:val="decimal"/>
      <w:lvlText w:val="A.%1.%2"/>
      <w:lvlJc w:val="left"/>
      <w:pPr>
        <w:ind w:left="567" w:hanging="567"/>
      </w:pPr>
      <w:rPr>
        <w:rFonts w:hint="default"/>
      </w:rPr>
    </w:lvl>
    <w:lvl w:ilvl="2" w:tentative="0">
      <w:start w:val="1"/>
      <w:numFmt w:val="decimal"/>
      <w:lvlText w:val="A.%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10"/>
    <w:multiLevelType w:val="multilevel"/>
    <w:tmpl w:val="00000010"/>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6"/>
      <w:suff w:val="nothing"/>
      <w:lvlText w:val="%1%2　"/>
      <w:lvlJc w:val="left"/>
      <w:pPr>
        <w:ind w:left="0" w:firstLine="0"/>
      </w:pPr>
      <w:rPr>
        <w:rFonts w:hint="eastAsia" w:ascii="黑体" w:hAnsi="Times New Roman" w:eastAsia="黑体"/>
        <w:b w:val="0"/>
        <w:i w:val="0"/>
        <w:sz w:val="21"/>
      </w:rPr>
    </w:lvl>
    <w:lvl w:ilvl="2" w:tentative="0">
      <w:start w:val="1"/>
      <w:numFmt w:val="decimal"/>
      <w:pStyle w:val="55"/>
      <w:suff w:val="nothing"/>
      <w:lvlText w:val="%1%2.%3　"/>
      <w:lvlJc w:val="left"/>
      <w:pPr>
        <w:ind w:left="142" w:firstLine="0"/>
      </w:pPr>
      <w:rPr>
        <w:rFonts w:hint="eastAsia" w:ascii="黑体" w:hAnsi="Times New Roman" w:eastAsia="黑体"/>
        <w:b w:val="0"/>
        <w:i w:val="0"/>
        <w:sz w:val="21"/>
      </w:rPr>
    </w:lvl>
    <w:lvl w:ilvl="3" w:tentative="0">
      <w:start w:val="1"/>
      <w:numFmt w:val="decimal"/>
      <w:pStyle w:val="5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142"/>
    <w:rsid w:val="000015CF"/>
    <w:rsid w:val="00002F26"/>
    <w:rsid w:val="00006CC9"/>
    <w:rsid w:val="0000710B"/>
    <w:rsid w:val="000074F7"/>
    <w:rsid w:val="00007817"/>
    <w:rsid w:val="000112C3"/>
    <w:rsid w:val="00011F4B"/>
    <w:rsid w:val="00012AC3"/>
    <w:rsid w:val="00012AD4"/>
    <w:rsid w:val="000153FB"/>
    <w:rsid w:val="0001664F"/>
    <w:rsid w:val="00022A53"/>
    <w:rsid w:val="0002430C"/>
    <w:rsid w:val="00026BFD"/>
    <w:rsid w:val="0003004B"/>
    <w:rsid w:val="00031231"/>
    <w:rsid w:val="0003150C"/>
    <w:rsid w:val="0003245A"/>
    <w:rsid w:val="00033456"/>
    <w:rsid w:val="000337CE"/>
    <w:rsid w:val="00034C84"/>
    <w:rsid w:val="000367DD"/>
    <w:rsid w:val="00041097"/>
    <w:rsid w:val="00044ECC"/>
    <w:rsid w:val="00045047"/>
    <w:rsid w:val="00050D3B"/>
    <w:rsid w:val="0005223B"/>
    <w:rsid w:val="00053FF2"/>
    <w:rsid w:val="000547E3"/>
    <w:rsid w:val="00055885"/>
    <w:rsid w:val="00061154"/>
    <w:rsid w:val="000620F7"/>
    <w:rsid w:val="000637D0"/>
    <w:rsid w:val="00065396"/>
    <w:rsid w:val="000654BA"/>
    <w:rsid w:val="0006587C"/>
    <w:rsid w:val="0007353A"/>
    <w:rsid w:val="00075A2D"/>
    <w:rsid w:val="000762E4"/>
    <w:rsid w:val="00077B24"/>
    <w:rsid w:val="00084189"/>
    <w:rsid w:val="00085D97"/>
    <w:rsid w:val="000875B4"/>
    <w:rsid w:val="000936C4"/>
    <w:rsid w:val="000A024A"/>
    <w:rsid w:val="000A08E4"/>
    <w:rsid w:val="000A176F"/>
    <w:rsid w:val="000A3101"/>
    <w:rsid w:val="000A31C2"/>
    <w:rsid w:val="000B0F45"/>
    <w:rsid w:val="000B554E"/>
    <w:rsid w:val="000B612A"/>
    <w:rsid w:val="000C4A62"/>
    <w:rsid w:val="000C6CE0"/>
    <w:rsid w:val="000C767F"/>
    <w:rsid w:val="000D554C"/>
    <w:rsid w:val="000E32C9"/>
    <w:rsid w:val="000E5C47"/>
    <w:rsid w:val="000E6D41"/>
    <w:rsid w:val="000F12CE"/>
    <w:rsid w:val="000F201F"/>
    <w:rsid w:val="000F2438"/>
    <w:rsid w:val="000F4954"/>
    <w:rsid w:val="00102CCA"/>
    <w:rsid w:val="00104780"/>
    <w:rsid w:val="0010518A"/>
    <w:rsid w:val="00111451"/>
    <w:rsid w:val="00112787"/>
    <w:rsid w:val="00113477"/>
    <w:rsid w:val="001149C8"/>
    <w:rsid w:val="00115E79"/>
    <w:rsid w:val="00117FCB"/>
    <w:rsid w:val="001235D1"/>
    <w:rsid w:val="00123C66"/>
    <w:rsid w:val="001272C5"/>
    <w:rsid w:val="00131D59"/>
    <w:rsid w:val="001346B1"/>
    <w:rsid w:val="001378CD"/>
    <w:rsid w:val="00140744"/>
    <w:rsid w:val="00141898"/>
    <w:rsid w:val="001428C9"/>
    <w:rsid w:val="001431C4"/>
    <w:rsid w:val="00145E78"/>
    <w:rsid w:val="001562A9"/>
    <w:rsid w:val="00156AFF"/>
    <w:rsid w:val="00157F31"/>
    <w:rsid w:val="001626BE"/>
    <w:rsid w:val="001627AA"/>
    <w:rsid w:val="00164BE2"/>
    <w:rsid w:val="00165DA2"/>
    <w:rsid w:val="00166A3A"/>
    <w:rsid w:val="00167CC9"/>
    <w:rsid w:val="00170593"/>
    <w:rsid w:val="00172B40"/>
    <w:rsid w:val="00175CE8"/>
    <w:rsid w:val="001800E3"/>
    <w:rsid w:val="0018178F"/>
    <w:rsid w:val="0018436A"/>
    <w:rsid w:val="00184B04"/>
    <w:rsid w:val="001934A7"/>
    <w:rsid w:val="0019551B"/>
    <w:rsid w:val="00195A71"/>
    <w:rsid w:val="001A2547"/>
    <w:rsid w:val="001A6E03"/>
    <w:rsid w:val="001A7B61"/>
    <w:rsid w:val="001B1443"/>
    <w:rsid w:val="001B47AE"/>
    <w:rsid w:val="001B6158"/>
    <w:rsid w:val="001C012D"/>
    <w:rsid w:val="001C0378"/>
    <w:rsid w:val="001C54C1"/>
    <w:rsid w:val="001C7B04"/>
    <w:rsid w:val="001D1D7A"/>
    <w:rsid w:val="001D2513"/>
    <w:rsid w:val="001D2D85"/>
    <w:rsid w:val="001D3900"/>
    <w:rsid w:val="001D3B32"/>
    <w:rsid w:val="001D40FF"/>
    <w:rsid w:val="001D471F"/>
    <w:rsid w:val="001E4AC4"/>
    <w:rsid w:val="001F0470"/>
    <w:rsid w:val="001F6B0A"/>
    <w:rsid w:val="00200641"/>
    <w:rsid w:val="00200806"/>
    <w:rsid w:val="00200D30"/>
    <w:rsid w:val="00200F6E"/>
    <w:rsid w:val="0020138F"/>
    <w:rsid w:val="00205E07"/>
    <w:rsid w:val="00212310"/>
    <w:rsid w:val="002137BA"/>
    <w:rsid w:val="00215F7A"/>
    <w:rsid w:val="002245B2"/>
    <w:rsid w:val="0022628B"/>
    <w:rsid w:val="002318AC"/>
    <w:rsid w:val="00232177"/>
    <w:rsid w:val="00232524"/>
    <w:rsid w:val="00234C16"/>
    <w:rsid w:val="00234E37"/>
    <w:rsid w:val="0023525A"/>
    <w:rsid w:val="002436B7"/>
    <w:rsid w:val="00245EC5"/>
    <w:rsid w:val="00246B2A"/>
    <w:rsid w:val="00246F74"/>
    <w:rsid w:val="00251722"/>
    <w:rsid w:val="0025175D"/>
    <w:rsid w:val="00251B8D"/>
    <w:rsid w:val="0025217E"/>
    <w:rsid w:val="002575A0"/>
    <w:rsid w:val="0026122D"/>
    <w:rsid w:val="00261456"/>
    <w:rsid w:val="00264413"/>
    <w:rsid w:val="00265360"/>
    <w:rsid w:val="0027232A"/>
    <w:rsid w:val="00272B7C"/>
    <w:rsid w:val="00273C6C"/>
    <w:rsid w:val="00281D3B"/>
    <w:rsid w:val="0028425B"/>
    <w:rsid w:val="00287F45"/>
    <w:rsid w:val="00290088"/>
    <w:rsid w:val="002914BA"/>
    <w:rsid w:val="00291727"/>
    <w:rsid w:val="002931CF"/>
    <w:rsid w:val="002940D7"/>
    <w:rsid w:val="002942DE"/>
    <w:rsid w:val="00297B8D"/>
    <w:rsid w:val="002A3C84"/>
    <w:rsid w:val="002A4A00"/>
    <w:rsid w:val="002A6C74"/>
    <w:rsid w:val="002A782B"/>
    <w:rsid w:val="002A7932"/>
    <w:rsid w:val="002A799B"/>
    <w:rsid w:val="002B0C98"/>
    <w:rsid w:val="002B10F1"/>
    <w:rsid w:val="002B2C02"/>
    <w:rsid w:val="002B3284"/>
    <w:rsid w:val="002B493B"/>
    <w:rsid w:val="002B5746"/>
    <w:rsid w:val="002B7C71"/>
    <w:rsid w:val="002C29DD"/>
    <w:rsid w:val="002C3E3D"/>
    <w:rsid w:val="002C6C00"/>
    <w:rsid w:val="002C71EF"/>
    <w:rsid w:val="002D2783"/>
    <w:rsid w:val="002D348E"/>
    <w:rsid w:val="002D6BE8"/>
    <w:rsid w:val="002D7593"/>
    <w:rsid w:val="002E0708"/>
    <w:rsid w:val="002E0C05"/>
    <w:rsid w:val="002E22C8"/>
    <w:rsid w:val="002E4382"/>
    <w:rsid w:val="002E667B"/>
    <w:rsid w:val="002F471B"/>
    <w:rsid w:val="00300AA3"/>
    <w:rsid w:val="003016EF"/>
    <w:rsid w:val="00304D8B"/>
    <w:rsid w:val="003073BE"/>
    <w:rsid w:val="00311F19"/>
    <w:rsid w:val="00313B3F"/>
    <w:rsid w:val="003161C8"/>
    <w:rsid w:val="00320D26"/>
    <w:rsid w:val="003267F2"/>
    <w:rsid w:val="0033115B"/>
    <w:rsid w:val="0033418C"/>
    <w:rsid w:val="00342367"/>
    <w:rsid w:val="003431F9"/>
    <w:rsid w:val="00344EF2"/>
    <w:rsid w:val="00345642"/>
    <w:rsid w:val="00345C98"/>
    <w:rsid w:val="00346DD8"/>
    <w:rsid w:val="00346FAF"/>
    <w:rsid w:val="0035196D"/>
    <w:rsid w:val="00353FA2"/>
    <w:rsid w:val="003555E8"/>
    <w:rsid w:val="00355F1C"/>
    <w:rsid w:val="003562D1"/>
    <w:rsid w:val="003564A5"/>
    <w:rsid w:val="0035728A"/>
    <w:rsid w:val="00362CBD"/>
    <w:rsid w:val="00364C31"/>
    <w:rsid w:val="003700DA"/>
    <w:rsid w:val="00370174"/>
    <w:rsid w:val="00370C77"/>
    <w:rsid w:val="00370F3B"/>
    <w:rsid w:val="0037455E"/>
    <w:rsid w:val="00381995"/>
    <w:rsid w:val="00386DAA"/>
    <w:rsid w:val="00386E0D"/>
    <w:rsid w:val="00387A68"/>
    <w:rsid w:val="00390EB3"/>
    <w:rsid w:val="00395CF9"/>
    <w:rsid w:val="00396D1B"/>
    <w:rsid w:val="003A2503"/>
    <w:rsid w:val="003A3AEE"/>
    <w:rsid w:val="003A5608"/>
    <w:rsid w:val="003A5C87"/>
    <w:rsid w:val="003B1813"/>
    <w:rsid w:val="003B34D6"/>
    <w:rsid w:val="003C00C5"/>
    <w:rsid w:val="003C38F8"/>
    <w:rsid w:val="003C4D80"/>
    <w:rsid w:val="003C75E9"/>
    <w:rsid w:val="003D0767"/>
    <w:rsid w:val="003E141D"/>
    <w:rsid w:val="003E16F6"/>
    <w:rsid w:val="003E3636"/>
    <w:rsid w:val="003E44A7"/>
    <w:rsid w:val="003E44E2"/>
    <w:rsid w:val="003E4BB0"/>
    <w:rsid w:val="003E6739"/>
    <w:rsid w:val="003E73AE"/>
    <w:rsid w:val="003E7D65"/>
    <w:rsid w:val="00400964"/>
    <w:rsid w:val="00402887"/>
    <w:rsid w:val="00405CFE"/>
    <w:rsid w:val="004079F3"/>
    <w:rsid w:val="00407C85"/>
    <w:rsid w:val="0041025F"/>
    <w:rsid w:val="0041186A"/>
    <w:rsid w:val="0041408A"/>
    <w:rsid w:val="0041470A"/>
    <w:rsid w:val="00414A8D"/>
    <w:rsid w:val="00416F00"/>
    <w:rsid w:val="00417E29"/>
    <w:rsid w:val="004202EE"/>
    <w:rsid w:val="00420788"/>
    <w:rsid w:val="00422CA3"/>
    <w:rsid w:val="004245DB"/>
    <w:rsid w:val="00425115"/>
    <w:rsid w:val="004311C1"/>
    <w:rsid w:val="00432B30"/>
    <w:rsid w:val="00434799"/>
    <w:rsid w:val="00434B6C"/>
    <w:rsid w:val="00440A15"/>
    <w:rsid w:val="00441908"/>
    <w:rsid w:val="00443B62"/>
    <w:rsid w:val="0044488D"/>
    <w:rsid w:val="0045257C"/>
    <w:rsid w:val="004537AD"/>
    <w:rsid w:val="00456CEB"/>
    <w:rsid w:val="00457A8D"/>
    <w:rsid w:val="00457C82"/>
    <w:rsid w:val="00457D00"/>
    <w:rsid w:val="0046134C"/>
    <w:rsid w:val="00466192"/>
    <w:rsid w:val="0047026D"/>
    <w:rsid w:val="00470D80"/>
    <w:rsid w:val="00470DC9"/>
    <w:rsid w:val="00481A58"/>
    <w:rsid w:val="0048200F"/>
    <w:rsid w:val="0048231E"/>
    <w:rsid w:val="00483FA4"/>
    <w:rsid w:val="00490B8B"/>
    <w:rsid w:val="0049304B"/>
    <w:rsid w:val="004A0FC4"/>
    <w:rsid w:val="004A2C95"/>
    <w:rsid w:val="004A3C36"/>
    <w:rsid w:val="004A4DD9"/>
    <w:rsid w:val="004A53A4"/>
    <w:rsid w:val="004A5D70"/>
    <w:rsid w:val="004A7DCB"/>
    <w:rsid w:val="004B279B"/>
    <w:rsid w:val="004B27AC"/>
    <w:rsid w:val="004B30A2"/>
    <w:rsid w:val="004B3849"/>
    <w:rsid w:val="004B5140"/>
    <w:rsid w:val="004C2BB2"/>
    <w:rsid w:val="004C32BB"/>
    <w:rsid w:val="004C3ED5"/>
    <w:rsid w:val="004C6A87"/>
    <w:rsid w:val="004D0384"/>
    <w:rsid w:val="004D0E3F"/>
    <w:rsid w:val="004D6883"/>
    <w:rsid w:val="004D73B8"/>
    <w:rsid w:val="004E2F36"/>
    <w:rsid w:val="004E4591"/>
    <w:rsid w:val="004E603F"/>
    <w:rsid w:val="004E622D"/>
    <w:rsid w:val="004F2F37"/>
    <w:rsid w:val="004F4322"/>
    <w:rsid w:val="004F4500"/>
    <w:rsid w:val="004F59A6"/>
    <w:rsid w:val="00501C76"/>
    <w:rsid w:val="005030D4"/>
    <w:rsid w:val="005053C8"/>
    <w:rsid w:val="00510C47"/>
    <w:rsid w:val="00520C43"/>
    <w:rsid w:val="00521E7F"/>
    <w:rsid w:val="00522D9F"/>
    <w:rsid w:val="00522E85"/>
    <w:rsid w:val="00525B6D"/>
    <w:rsid w:val="005319E7"/>
    <w:rsid w:val="00531D96"/>
    <w:rsid w:val="00536733"/>
    <w:rsid w:val="00537BAD"/>
    <w:rsid w:val="00541432"/>
    <w:rsid w:val="005459BC"/>
    <w:rsid w:val="00545CAC"/>
    <w:rsid w:val="00553DED"/>
    <w:rsid w:val="00553F83"/>
    <w:rsid w:val="00560E7B"/>
    <w:rsid w:val="0056661E"/>
    <w:rsid w:val="0057406D"/>
    <w:rsid w:val="00574221"/>
    <w:rsid w:val="00575CC9"/>
    <w:rsid w:val="00577D88"/>
    <w:rsid w:val="0058009B"/>
    <w:rsid w:val="00585650"/>
    <w:rsid w:val="00595622"/>
    <w:rsid w:val="005A140D"/>
    <w:rsid w:val="005A43D8"/>
    <w:rsid w:val="005A63B5"/>
    <w:rsid w:val="005B773C"/>
    <w:rsid w:val="005C3F60"/>
    <w:rsid w:val="005D0E97"/>
    <w:rsid w:val="005D2F6E"/>
    <w:rsid w:val="005D7383"/>
    <w:rsid w:val="005E40B6"/>
    <w:rsid w:val="005E6BBB"/>
    <w:rsid w:val="005F06A4"/>
    <w:rsid w:val="005F5C3C"/>
    <w:rsid w:val="005F7D0D"/>
    <w:rsid w:val="00603781"/>
    <w:rsid w:val="006107A8"/>
    <w:rsid w:val="00610820"/>
    <w:rsid w:val="0062387C"/>
    <w:rsid w:val="00625054"/>
    <w:rsid w:val="006264C6"/>
    <w:rsid w:val="00626726"/>
    <w:rsid w:val="00632A00"/>
    <w:rsid w:val="00633122"/>
    <w:rsid w:val="006354EF"/>
    <w:rsid w:val="00636C85"/>
    <w:rsid w:val="00637D1D"/>
    <w:rsid w:val="00642AE4"/>
    <w:rsid w:val="00642DB6"/>
    <w:rsid w:val="00644F92"/>
    <w:rsid w:val="00645AD0"/>
    <w:rsid w:val="00646250"/>
    <w:rsid w:val="006465BE"/>
    <w:rsid w:val="00647442"/>
    <w:rsid w:val="00650AFC"/>
    <w:rsid w:val="00652C9E"/>
    <w:rsid w:val="0065314B"/>
    <w:rsid w:val="00655109"/>
    <w:rsid w:val="006630D6"/>
    <w:rsid w:val="00666A38"/>
    <w:rsid w:val="00666E20"/>
    <w:rsid w:val="0067099C"/>
    <w:rsid w:val="00672A55"/>
    <w:rsid w:val="00674123"/>
    <w:rsid w:val="006814BC"/>
    <w:rsid w:val="00687BF4"/>
    <w:rsid w:val="0069065A"/>
    <w:rsid w:val="0069087E"/>
    <w:rsid w:val="00690A93"/>
    <w:rsid w:val="006972A5"/>
    <w:rsid w:val="006A1E26"/>
    <w:rsid w:val="006A544F"/>
    <w:rsid w:val="006A7F88"/>
    <w:rsid w:val="006B342D"/>
    <w:rsid w:val="006C48A8"/>
    <w:rsid w:val="006C7770"/>
    <w:rsid w:val="006C77D3"/>
    <w:rsid w:val="006D00BE"/>
    <w:rsid w:val="006D0998"/>
    <w:rsid w:val="006D3093"/>
    <w:rsid w:val="006D58BA"/>
    <w:rsid w:val="006D654B"/>
    <w:rsid w:val="006E199E"/>
    <w:rsid w:val="006E405F"/>
    <w:rsid w:val="006F01F2"/>
    <w:rsid w:val="006F1325"/>
    <w:rsid w:val="006F3C49"/>
    <w:rsid w:val="006F4A0A"/>
    <w:rsid w:val="006F5D4B"/>
    <w:rsid w:val="006F703E"/>
    <w:rsid w:val="00704222"/>
    <w:rsid w:val="00710185"/>
    <w:rsid w:val="0071043E"/>
    <w:rsid w:val="007107B6"/>
    <w:rsid w:val="00711629"/>
    <w:rsid w:val="00711869"/>
    <w:rsid w:val="00711BEE"/>
    <w:rsid w:val="00711E0E"/>
    <w:rsid w:val="00712AD2"/>
    <w:rsid w:val="00714D8D"/>
    <w:rsid w:val="00714FDE"/>
    <w:rsid w:val="0071703A"/>
    <w:rsid w:val="00722894"/>
    <w:rsid w:val="007234F6"/>
    <w:rsid w:val="0072722C"/>
    <w:rsid w:val="00731DE3"/>
    <w:rsid w:val="0073362E"/>
    <w:rsid w:val="00734172"/>
    <w:rsid w:val="00735605"/>
    <w:rsid w:val="0073593D"/>
    <w:rsid w:val="00741746"/>
    <w:rsid w:val="00741880"/>
    <w:rsid w:val="00747A5E"/>
    <w:rsid w:val="00747B2F"/>
    <w:rsid w:val="00747EE1"/>
    <w:rsid w:val="007540D8"/>
    <w:rsid w:val="007613BC"/>
    <w:rsid w:val="00765194"/>
    <w:rsid w:val="00766FE7"/>
    <w:rsid w:val="00770B53"/>
    <w:rsid w:val="00771460"/>
    <w:rsid w:val="007743D7"/>
    <w:rsid w:val="0078202E"/>
    <w:rsid w:val="007825D6"/>
    <w:rsid w:val="00786D0A"/>
    <w:rsid w:val="007964B5"/>
    <w:rsid w:val="007A2096"/>
    <w:rsid w:val="007A4483"/>
    <w:rsid w:val="007B017A"/>
    <w:rsid w:val="007B0251"/>
    <w:rsid w:val="007B216C"/>
    <w:rsid w:val="007B4B16"/>
    <w:rsid w:val="007C0E93"/>
    <w:rsid w:val="007C1FED"/>
    <w:rsid w:val="007C2D17"/>
    <w:rsid w:val="007C6D2A"/>
    <w:rsid w:val="007C6DAD"/>
    <w:rsid w:val="007C7E9E"/>
    <w:rsid w:val="007D107B"/>
    <w:rsid w:val="007D1D2E"/>
    <w:rsid w:val="007D4470"/>
    <w:rsid w:val="007D6CC0"/>
    <w:rsid w:val="007E056B"/>
    <w:rsid w:val="007E2510"/>
    <w:rsid w:val="007E3259"/>
    <w:rsid w:val="007E58E7"/>
    <w:rsid w:val="007E5D3A"/>
    <w:rsid w:val="007F0B81"/>
    <w:rsid w:val="007F1802"/>
    <w:rsid w:val="007F1A22"/>
    <w:rsid w:val="007F28D3"/>
    <w:rsid w:val="007F2FFE"/>
    <w:rsid w:val="007F314F"/>
    <w:rsid w:val="007F71F6"/>
    <w:rsid w:val="007F792B"/>
    <w:rsid w:val="008017E6"/>
    <w:rsid w:val="00803E95"/>
    <w:rsid w:val="00806015"/>
    <w:rsid w:val="00812B70"/>
    <w:rsid w:val="008132FF"/>
    <w:rsid w:val="008222DD"/>
    <w:rsid w:val="0083029E"/>
    <w:rsid w:val="008318C7"/>
    <w:rsid w:val="00833A8C"/>
    <w:rsid w:val="008362B5"/>
    <w:rsid w:val="00841750"/>
    <w:rsid w:val="008427EC"/>
    <w:rsid w:val="00843727"/>
    <w:rsid w:val="00843C33"/>
    <w:rsid w:val="00846262"/>
    <w:rsid w:val="008474F1"/>
    <w:rsid w:val="00847D6F"/>
    <w:rsid w:val="00847E70"/>
    <w:rsid w:val="00852ED3"/>
    <w:rsid w:val="00855B3C"/>
    <w:rsid w:val="00856B6C"/>
    <w:rsid w:val="00857D75"/>
    <w:rsid w:val="00860FA7"/>
    <w:rsid w:val="008624B0"/>
    <w:rsid w:val="008651C8"/>
    <w:rsid w:val="00871682"/>
    <w:rsid w:val="00874EFD"/>
    <w:rsid w:val="00876079"/>
    <w:rsid w:val="00877266"/>
    <w:rsid w:val="00877D88"/>
    <w:rsid w:val="00887E69"/>
    <w:rsid w:val="008939D0"/>
    <w:rsid w:val="00897C89"/>
    <w:rsid w:val="008A17CB"/>
    <w:rsid w:val="008A1D2E"/>
    <w:rsid w:val="008A45F1"/>
    <w:rsid w:val="008A68E1"/>
    <w:rsid w:val="008B362F"/>
    <w:rsid w:val="008B3C9B"/>
    <w:rsid w:val="008B3F8C"/>
    <w:rsid w:val="008B5B04"/>
    <w:rsid w:val="008C0538"/>
    <w:rsid w:val="008C20AB"/>
    <w:rsid w:val="008C25CA"/>
    <w:rsid w:val="008C42B8"/>
    <w:rsid w:val="008C66D4"/>
    <w:rsid w:val="008E2739"/>
    <w:rsid w:val="008E3329"/>
    <w:rsid w:val="008E686E"/>
    <w:rsid w:val="008E6E08"/>
    <w:rsid w:val="008F19EA"/>
    <w:rsid w:val="008F1A17"/>
    <w:rsid w:val="008F2484"/>
    <w:rsid w:val="008F48F2"/>
    <w:rsid w:val="008F5744"/>
    <w:rsid w:val="00900842"/>
    <w:rsid w:val="00901331"/>
    <w:rsid w:val="0090424C"/>
    <w:rsid w:val="00904861"/>
    <w:rsid w:val="00907498"/>
    <w:rsid w:val="0091009C"/>
    <w:rsid w:val="009113E9"/>
    <w:rsid w:val="00911BA4"/>
    <w:rsid w:val="00912B05"/>
    <w:rsid w:val="00913040"/>
    <w:rsid w:val="009136F3"/>
    <w:rsid w:val="009147D9"/>
    <w:rsid w:val="00917B04"/>
    <w:rsid w:val="009205D2"/>
    <w:rsid w:val="0092712E"/>
    <w:rsid w:val="009357D3"/>
    <w:rsid w:val="00941C17"/>
    <w:rsid w:val="009423DA"/>
    <w:rsid w:val="00944FFD"/>
    <w:rsid w:val="0094530E"/>
    <w:rsid w:val="0094718B"/>
    <w:rsid w:val="0094756D"/>
    <w:rsid w:val="00950BB8"/>
    <w:rsid w:val="00951E70"/>
    <w:rsid w:val="0095557A"/>
    <w:rsid w:val="00956CFF"/>
    <w:rsid w:val="00960655"/>
    <w:rsid w:val="00960811"/>
    <w:rsid w:val="0096371F"/>
    <w:rsid w:val="00965313"/>
    <w:rsid w:val="00966376"/>
    <w:rsid w:val="00967E03"/>
    <w:rsid w:val="009756EB"/>
    <w:rsid w:val="009774A3"/>
    <w:rsid w:val="009809B7"/>
    <w:rsid w:val="00983651"/>
    <w:rsid w:val="00983FA3"/>
    <w:rsid w:val="00984EEE"/>
    <w:rsid w:val="00985A97"/>
    <w:rsid w:val="00985D1C"/>
    <w:rsid w:val="00987BDE"/>
    <w:rsid w:val="0099287D"/>
    <w:rsid w:val="0099449E"/>
    <w:rsid w:val="00997D15"/>
    <w:rsid w:val="00997EF1"/>
    <w:rsid w:val="009A437D"/>
    <w:rsid w:val="009A7222"/>
    <w:rsid w:val="009B176A"/>
    <w:rsid w:val="009B1E69"/>
    <w:rsid w:val="009B2BDF"/>
    <w:rsid w:val="009B3956"/>
    <w:rsid w:val="009B428B"/>
    <w:rsid w:val="009B4BAC"/>
    <w:rsid w:val="009B539A"/>
    <w:rsid w:val="009B6B87"/>
    <w:rsid w:val="009C00C1"/>
    <w:rsid w:val="009C0333"/>
    <w:rsid w:val="009C1F08"/>
    <w:rsid w:val="009C7349"/>
    <w:rsid w:val="009D0B91"/>
    <w:rsid w:val="009D484D"/>
    <w:rsid w:val="009D5020"/>
    <w:rsid w:val="009D54F4"/>
    <w:rsid w:val="009D6045"/>
    <w:rsid w:val="009D6D65"/>
    <w:rsid w:val="009E0C23"/>
    <w:rsid w:val="009E5BAA"/>
    <w:rsid w:val="009F09AF"/>
    <w:rsid w:val="009F125D"/>
    <w:rsid w:val="009F1E2B"/>
    <w:rsid w:val="009F3739"/>
    <w:rsid w:val="009F6CBD"/>
    <w:rsid w:val="00A03131"/>
    <w:rsid w:val="00A04138"/>
    <w:rsid w:val="00A10872"/>
    <w:rsid w:val="00A12A38"/>
    <w:rsid w:val="00A13848"/>
    <w:rsid w:val="00A150EB"/>
    <w:rsid w:val="00A15104"/>
    <w:rsid w:val="00A15FD8"/>
    <w:rsid w:val="00A17914"/>
    <w:rsid w:val="00A20B8F"/>
    <w:rsid w:val="00A20CA5"/>
    <w:rsid w:val="00A2209F"/>
    <w:rsid w:val="00A24A1A"/>
    <w:rsid w:val="00A24F93"/>
    <w:rsid w:val="00A25DB6"/>
    <w:rsid w:val="00A262CC"/>
    <w:rsid w:val="00A26389"/>
    <w:rsid w:val="00A352E4"/>
    <w:rsid w:val="00A41899"/>
    <w:rsid w:val="00A436F1"/>
    <w:rsid w:val="00A43837"/>
    <w:rsid w:val="00A45C2A"/>
    <w:rsid w:val="00A477B8"/>
    <w:rsid w:val="00A53108"/>
    <w:rsid w:val="00A5378F"/>
    <w:rsid w:val="00A551E7"/>
    <w:rsid w:val="00A56998"/>
    <w:rsid w:val="00A611FB"/>
    <w:rsid w:val="00A6421F"/>
    <w:rsid w:val="00A67A93"/>
    <w:rsid w:val="00A709DE"/>
    <w:rsid w:val="00A7424A"/>
    <w:rsid w:val="00A75853"/>
    <w:rsid w:val="00A856F4"/>
    <w:rsid w:val="00A85D8C"/>
    <w:rsid w:val="00A864BE"/>
    <w:rsid w:val="00A86D32"/>
    <w:rsid w:val="00A923DB"/>
    <w:rsid w:val="00A9315F"/>
    <w:rsid w:val="00A93F1B"/>
    <w:rsid w:val="00A943D5"/>
    <w:rsid w:val="00AA50E2"/>
    <w:rsid w:val="00AA5BE1"/>
    <w:rsid w:val="00AB3187"/>
    <w:rsid w:val="00AB49B0"/>
    <w:rsid w:val="00AB550A"/>
    <w:rsid w:val="00AB5778"/>
    <w:rsid w:val="00AB69E3"/>
    <w:rsid w:val="00AB7D94"/>
    <w:rsid w:val="00AC4DB2"/>
    <w:rsid w:val="00AC7520"/>
    <w:rsid w:val="00AC7A8B"/>
    <w:rsid w:val="00AD0C7E"/>
    <w:rsid w:val="00AD14AC"/>
    <w:rsid w:val="00AD3778"/>
    <w:rsid w:val="00AD39D0"/>
    <w:rsid w:val="00AD4669"/>
    <w:rsid w:val="00AD5101"/>
    <w:rsid w:val="00AD796A"/>
    <w:rsid w:val="00AE3EC9"/>
    <w:rsid w:val="00AE4CDC"/>
    <w:rsid w:val="00AF177C"/>
    <w:rsid w:val="00AF73C8"/>
    <w:rsid w:val="00AF74D4"/>
    <w:rsid w:val="00B0289A"/>
    <w:rsid w:val="00B05235"/>
    <w:rsid w:val="00B07BE0"/>
    <w:rsid w:val="00B1023F"/>
    <w:rsid w:val="00B10471"/>
    <w:rsid w:val="00B13446"/>
    <w:rsid w:val="00B1372D"/>
    <w:rsid w:val="00B13BDB"/>
    <w:rsid w:val="00B160CE"/>
    <w:rsid w:val="00B16F2E"/>
    <w:rsid w:val="00B1735D"/>
    <w:rsid w:val="00B21F43"/>
    <w:rsid w:val="00B236B4"/>
    <w:rsid w:val="00B24353"/>
    <w:rsid w:val="00B263EE"/>
    <w:rsid w:val="00B2731A"/>
    <w:rsid w:val="00B3042A"/>
    <w:rsid w:val="00B3172B"/>
    <w:rsid w:val="00B324FE"/>
    <w:rsid w:val="00B34D39"/>
    <w:rsid w:val="00B42436"/>
    <w:rsid w:val="00B461DC"/>
    <w:rsid w:val="00B50206"/>
    <w:rsid w:val="00B51EB9"/>
    <w:rsid w:val="00B52EF0"/>
    <w:rsid w:val="00B54981"/>
    <w:rsid w:val="00B65726"/>
    <w:rsid w:val="00B65F6B"/>
    <w:rsid w:val="00B704FF"/>
    <w:rsid w:val="00B8148D"/>
    <w:rsid w:val="00B83AE1"/>
    <w:rsid w:val="00B84753"/>
    <w:rsid w:val="00B86218"/>
    <w:rsid w:val="00B927ED"/>
    <w:rsid w:val="00B93FED"/>
    <w:rsid w:val="00B950AD"/>
    <w:rsid w:val="00B95D3C"/>
    <w:rsid w:val="00B979BA"/>
    <w:rsid w:val="00BA3976"/>
    <w:rsid w:val="00BA51C7"/>
    <w:rsid w:val="00BA6809"/>
    <w:rsid w:val="00BA685F"/>
    <w:rsid w:val="00BB10FE"/>
    <w:rsid w:val="00BB1865"/>
    <w:rsid w:val="00BB231D"/>
    <w:rsid w:val="00BB3610"/>
    <w:rsid w:val="00BB40CE"/>
    <w:rsid w:val="00BB4902"/>
    <w:rsid w:val="00BC2A81"/>
    <w:rsid w:val="00BC305D"/>
    <w:rsid w:val="00BC7420"/>
    <w:rsid w:val="00BD04F4"/>
    <w:rsid w:val="00BD1286"/>
    <w:rsid w:val="00BD41E5"/>
    <w:rsid w:val="00BD5D8B"/>
    <w:rsid w:val="00BD6372"/>
    <w:rsid w:val="00BE200A"/>
    <w:rsid w:val="00BE5EB0"/>
    <w:rsid w:val="00BE783A"/>
    <w:rsid w:val="00BF09DD"/>
    <w:rsid w:val="00BF1598"/>
    <w:rsid w:val="00BF1BD8"/>
    <w:rsid w:val="00BF236E"/>
    <w:rsid w:val="00BF2AC0"/>
    <w:rsid w:val="00BF5E27"/>
    <w:rsid w:val="00C001C4"/>
    <w:rsid w:val="00C04FB0"/>
    <w:rsid w:val="00C057D0"/>
    <w:rsid w:val="00C05980"/>
    <w:rsid w:val="00C05F0F"/>
    <w:rsid w:val="00C06D08"/>
    <w:rsid w:val="00C1742B"/>
    <w:rsid w:val="00C21179"/>
    <w:rsid w:val="00C23A39"/>
    <w:rsid w:val="00C303D8"/>
    <w:rsid w:val="00C3293C"/>
    <w:rsid w:val="00C353DF"/>
    <w:rsid w:val="00C35FDD"/>
    <w:rsid w:val="00C36FC9"/>
    <w:rsid w:val="00C41887"/>
    <w:rsid w:val="00C44E39"/>
    <w:rsid w:val="00C454B6"/>
    <w:rsid w:val="00C46A4F"/>
    <w:rsid w:val="00C47FE5"/>
    <w:rsid w:val="00C50BB4"/>
    <w:rsid w:val="00C53A73"/>
    <w:rsid w:val="00C60540"/>
    <w:rsid w:val="00C62CE5"/>
    <w:rsid w:val="00C6487A"/>
    <w:rsid w:val="00C6602D"/>
    <w:rsid w:val="00C67CE3"/>
    <w:rsid w:val="00C7077E"/>
    <w:rsid w:val="00C70F32"/>
    <w:rsid w:val="00C732D2"/>
    <w:rsid w:val="00C733C3"/>
    <w:rsid w:val="00C73667"/>
    <w:rsid w:val="00C85096"/>
    <w:rsid w:val="00C875E3"/>
    <w:rsid w:val="00C90042"/>
    <w:rsid w:val="00C90BF3"/>
    <w:rsid w:val="00C91B31"/>
    <w:rsid w:val="00C9323A"/>
    <w:rsid w:val="00C95B81"/>
    <w:rsid w:val="00C96785"/>
    <w:rsid w:val="00CA1439"/>
    <w:rsid w:val="00CA358A"/>
    <w:rsid w:val="00CB159A"/>
    <w:rsid w:val="00CB43FF"/>
    <w:rsid w:val="00CB512E"/>
    <w:rsid w:val="00CB542D"/>
    <w:rsid w:val="00CC1708"/>
    <w:rsid w:val="00CC4CBA"/>
    <w:rsid w:val="00CD1EF9"/>
    <w:rsid w:val="00CD2BA2"/>
    <w:rsid w:val="00CD74B9"/>
    <w:rsid w:val="00CE0C7F"/>
    <w:rsid w:val="00CE6551"/>
    <w:rsid w:val="00CE6B86"/>
    <w:rsid w:val="00CF0543"/>
    <w:rsid w:val="00CF3009"/>
    <w:rsid w:val="00CF3B0A"/>
    <w:rsid w:val="00CF4A13"/>
    <w:rsid w:val="00CF4CFE"/>
    <w:rsid w:val="00CF7257"/>
    <w:rsid w:val="00CF7882"/>
    <w:rsid w:val="00D00691"/>
    <w:rsid w:val="00D00A32"/>
    <w:rsid w:val="00D02919"/>
    <w:rsid w:val="00D07216"/>
    <w:rsid w:val="00D1089D"/>
    <w:rsid w:val="00D121C1"/>
    <w:rsid w:val="00D13B78"/>
    <w:rsid w:val="00D16A1C"/>
    <w:rsid w:val="00D16D54"/>
    <w:rsid w:val="00D20ADB"/>
    <w:rsid w:val="00D2331A"/>
    <w:rsid w:val="00D23928"/>
    <w:rsid w:val="00D23FE1"/>
    <w:rsid w:val="00D265FA"/>
    <w:rsid w:val="00D27D6A"/>
    <w:rsid w:val="00D310AF"/>
    <w:rsid w:val="00D354CC"/>
    <w:rsid w:val="00D356F2"/>
    <w:rsid w:val="00D36870"/>
    <w:rsid w:val="00D37142"/>
    <w:rsid w:val="00D374C8"/>
    <w:rsid w:val="00D40C11"/>
    <w:rsid w:val="00D41F03"/>
    <w:rsid w:val="00D43E78"/>
    <w:rsid w:val="00D4412E"/>
    <w:rsid w:val="00D463F3"/>
    <w:rsid w:val="00D515D7"/>
    <w:rsid w:val="00D53639"/>
    <w:rsid w:val="00D550DB"/>
    <w:rsid w:val="00D564DA"/>
    <w:rsid w:val="00D567A0"/>
    <w:rsid w:val="00D57CAB"/>
    <w:rsid w:val="00D612B9"/>
    <w:rsid w:val="00D67061"/>
    <w:rsid w:val="00D746AE"/>
    <w:rsid w:val="00D75194"/>
    <w:rsid w:val="00D75240"/>
    <w:rsid w:val="00D77464"/>
    <w:rsid w:val="00D81472"/>
    <w:rsid w:val="00D82C2D"/>
    <w:rsid w:val="00D84297"/>
    <w:rsid w:val="00D84C1B"/>
    <w:rsid w:val="00D86FC0"/>
    <w:rsid w:val="00D91F12"/>
    <w:rsid w:val="00D93D4A"/>
    <w:rsid w:val="00D952DA"/>
    <w:rsid w:val="00D96E2B"/>
    <w:rsid w:val="00DA0483"/>
    <w:rsid w:val="00DA3157"/>
    <w:rsid w:val="00DB12F6"/>
    <w:rsid w:val="00DB26DC"/>
    <w:rsid w:val="00DB3854"/>
    <w:rsid w:val="00DB6060"/>
    <w:rsid w:val="00DC2F10"/>
    <w:rsid w:val="00DC3581"/>
    <w:rsid w:val="00DC4615"/>
    <w:rsid w:val="00DD121B"/>
    <w:rsid w:val="00DD2AA0"/>
    <w:rsid w:val="00DD42E1"/>
    <w:rsid w:val="00DD601F"/>
    <w:rsid w:val="00DE09C4"/>
    <w:rsid w:val="00DE0EA9"/>
    <w:rsid w:val="00DE3CE8"/>
    <w:rsid w:val="00DE40BE"/>
    <w:rsid w:val="00DF144A"/>
    <w:rsid w:val="00DF1D5D"/>
    <w:rsid w:val="00DF1EF4"/>
    <w:rsid w:val="00DF25BF"/>
    <w:rsid w:val="00DF3305"/>
    <w:rsid w:val="00DF6C27"/>
    <w:rsid w:val="00DF6CB4"/>
    <w:rsid w:val="00E01308"/>
    <w:rsid w:val="00E0220E"/>
    <w:rsid w:val="00E03C02"/>
    <w:rsid w:val="00E0520B"/>
    <w:rsid w:val="00E05937"/>
    <w:rsid w:val="00E06BB1"/>
    <w:rsid w:val="00E075A0"/>
    <w:rsid w:val="00E11F93"/>
    <w:rsid w:val="00E12588"/>
    <w:rsid w:val="00E15C4E"/>
    <w:rsid w:val="00E31E57"/>
    <w:rsid w:val="00E33692"/>
    <w:rsid w:val="00E33C87"/>
    <w:rsid w:val="00E35BAD"/>
    <w:rsid w:val="00E36ADE"/>
    <w:rsid w:val="00E41CE1"/>
    <w:rsid w:val="00E4209B"/>
    <w:rsid w:val="00E42E6A"/>
    <w:rsid w:val="00E465A7"/>
    <w:rsid w:val="00E468FE"/>
    <w:rsid w:val="00E525B1"/>
    <w:rsid w:val="00E531A2"/>
    <w:rsid w:val="00E533C0"/>
    <w:rsid w:val="00E5415C"/>
    <w:rsid w:val="00E5443F"/>
    <w:rsid w:val="00E5600D"/>
    <w:rsid w:val="00E604B6"/>
    <w:rsid w:val="00E6201A"/>
    <w:rsid w:val="00E703BD"/>
    <w:rsid w:val="00E707B8"/>
    <w:rsid w:val="00E70B52"/>
    <w:rsid w:val="00E74124"/>
    <w:rsid w:val="00E80604"/>
    <w:rsid w:val="00E813F4"/>
    <w:rsid w:val="00E8612F"/>
    <w:rsid w:val="00E940D9"/>
    <w:rsid w:val="00E9493B"/>
    <w:rsid w:val="00E94F1A"/>
    <w:rsid w:val="00E954D9"/>
    <w:rsid w:val="00EA4055"/>
    <w:rsid w:val="00EA53C8"/>
    <w:rsid w:val="00EA5B3D"/>
    <w:rsid w:val="00EB093D"/>
    <w:rsid w:val="00EB4A33"/>
    <w:rsid w:val="00EB7BD2"/>
    <w:rsid w:val="00EC49F3"/>
    <w:rsid w:val="00EC5C5E"/>
    <w:rsid w:val="00EC6FBF"/>
    <w:rsid w:val="00ED04F7"/>
    <w:rsid w:val="00ED12AC"/>
    <w:rsid w:val="00ED16A7"/>
    <w:rsid w:val="00ED260F"/>
    <w:rsid w:val="00ED3A62"/>
    <w:rsid w:val="00EE3C08"/>
    <w:rsid w:val="00EE5C38"/>
    <w:rsid w:val="00EE5DDB"/>
    <w:rsid w:val="00EE795A"/>
    <w:rsid w:val="00EF03D4"/>
    <w:rsid w:val="00EF1B35"/>
    <w:rsid w:val="00EF380F"/>
    <w:rsid w:val="00EF4441"/>
    <w:rsid w:val="00EF4AEF"/>
    <w:rsid w:val="00EF518A"/>
    <w:rsid w:val="00EF644A"/>
    <w:rsid w:val="00EF70D4"/>
    <w:rsid w:val="00F020AA"/>
    <w:rsid w:val="00F03CE5"/>
    <w:rsid w:val="00F04066"/>
    <w:rsid w:val="00F07BE1"/>
    <w:rsid w:val="00F1133A"/>
    <w:rsid w:val="00F119B6"/>
    <w:rsid w:val="00F132CA"/>
    <w:rsid w:val="00F135A7"/>
    <w:rsid w:val="00F16543"/>
    <w:rsid w:val="00F24853"/>
    <w:rsid w:val="00F2627D"/>
    <w:rsid w:val="00F27FE5"/>
    <w:rsid w:val="00F30BFD"/>
    <w:rsid w:val="00F377EB"/>
    <w:rsid w:val="00F41152"/>
    <w:rsid w:val="00F4178C"/>
    <w:rsid w:val="00F42F10"/>
    <w:rsid w:val="00F433D4"/>
    <w:rsid w:val="00F457B3"/>
    <w:rsid w:val="00F50433"/>
    <w:rsid w:val="00F506E9"/>
    <w:rsid w:val="00F512A2"/>
    <w:rsid w:val="00F5175E"/>
    <w:rsid w:val="00F5625B"/>
    <w:rsid w:val="00F569FC"/>
    <w:rsid w:val="00F570EF"/>
    <w:rsid w:val="00F65164"/>
    <w:rsid w:val="00F6647C"/>
    <w:rsid w:val="00F673E0"/>
    <w:rsid w:val="00F677A8"/>
    <w:rsid w:val="00F702D2"/>
    <w:rsid w:val="00F73991"/>
    <w:rsid w:val="00F7432D"/>
    <w:rsid w:val="00F765CB"/>
    <w:rsid w:val="00F822D2"/>
    <w:rsid w:val="00F84C6D"/>
    <w:rsid w:val="00F850A7"/>
    <w:rsid w:val="00F873C4"/>
    <w:rsid w:val="00F90ACE"/>
    <w:rsid w:val="00F9195F"/>
    <w:rsid w:val="00FA053A"/>
    <w:rsid w:val="00FA1266"/>
    <w:rsid w:val="00FA523B"/>
    <w:rsid w:val="00FA659C"/>
    <w:rsid w:val="00FA7281"/>
    <w:rsid w:val="00FB16A8"/>
    <w:rsid w:val="00FB3926"/>
    <w:rsid w:val="00FC02EC"/>
    <w:rsid w:val="00FC1F83"/>
    <w:rsid w:val="00FC40C9"/>
    <w:rsid w:val="00FC48C9"/>
    <w:rsid w:val="00FC79B3"/>
    <w:rsid w:val="00FD1E20"/>
    <w:rsid w:val="00FD1E76"/>
    <w:rsid w:val="00FD45A9"/>
    <w:rsid w:val="00FD45D3"/>
    <w:rsid w:val="00FD470F"/>
    <w:rsid w:val="00FD4928"/>
    <w:rsid w:val="00FD57F9"/>
    <w:rsid w:val="00FD7F1A"/>
    <w:rsid w:val="00FE1C06"/>
    <w:rsid w:val="00FE31A2"/>
    <w:rsid w:val="00FE421A"/>
    <w:rsid w:val="00FE7975"/>
    <w:rsid w:val="00FF09A4"/>
    <w:rsid w:val="00FF20F3"/>
    <w:rsid w:val="00FF2154"/>
    <w:rsid w:val="00FF371A"/>
    <w:rsid w:val="00FF43D0"/>
    <w:rsid w:val="00FF4991"/>
    <w:rsid w:val="00FF5A5F"/>
    <w:rsid w:val="01196E52"/>
    <w:rsid w:val="01352434"/>
    <w:rsid w:val="02D50DC8"/>
    <w:rsid w:val="05797246"/>
    <w:rsid w:val="05A30D0A"/>
    <w:rsid w:val="05F652DD"/>
    <w:rsid w:val="06056003"/>
    <w:rsid w:val="0822685D"/>
    <w:rsid w:val="09160F0F"/>
    <w:rsid w:val="0A025C19"/>
    <w:rsid w:val="0A530F50"/>
    <w:rsid w:val="0AF63417"/>
    <w:rsid w:val="0B7A6699"/>
    <w:rsid w:val="0C582CDC"/>
    <w:rsid w:val="0CD65BE3"/>
    <w:rsid w:val="0E11327E"/>
    <w:rsid w:val="109220A6"/>
    <w:rsid w:val="10FF7FA9"/>
    <w:rsid w:val="112461CB"/>
    <w:rsid w:val="115B21A1"/>
    <w:rsid w:val="11851C0B"/>
    <w:rsid w:val="11AC7198"/>
    <w:rsid w:val="12223BDB"/>
    <w:rsid w:val="136F76D5"/>
    <w:rsid w:val="13AE43D0"/>
    <w:rsid w:val="13B641BF"/>
    <w:rsid w:val="150F686E"/>
    <w:rsid w:val="159D0D68"/>
    <w:rsid w:val="17C50FB3"/>
    <w:rsid w:val="18FB2B9D"/>
    <w:rsid w:val="19744E07"/>
    <w:rsid w:val="19E718CA"/>
    <w:rsid w:val="1AB01AA7"/>
    <w:rsid w:val="1E0F0D6B"/>
    <w:rsid w:val="1F0851D8"/>
    <w:rsid w:val="1F225BA0"/>
    <w:rsid w:val="1F3D08AF"/>
    <w:rsid w:val="20A0436C"/>
    <w:rsid w:val="20F7240A"/>
    <w:rsid w:val="217C337E"/>
    <w:rsid w:val="22D302E3"/>
    <w:rsid w:val="22E93171"/>
    <w:rsid w:val="24C53B65"/>
    <w:rsid w:val="252C15AE"/>
    <w:rsid w:val="271841D0"/>
    <w:rsid w:val="274F7B43"/>
    <w:rsid w:val="28A6273B"/>
    <w:rsid w:val="28DC1BE9"/>
    <w:rsid w:val="2B2328BA"/>
    <w:rsid w:val="2BD355F5"/>
    <w:rsid w:val="2BED2DB6"/>
    <w:rsid w:val="2DDF7D69"/>
    <w:rsid w:val="2EA8594E"/>
    <w:rsid w:val="2F601896"/>
    <w:rsid w:val="2F744CDF"/>
    <w:rsid w:val="300000AD"/>
    <w:rsid w:val="308835D3"/>
    <w:rsid w:val="31AB1BB4"/>
    <w:rsid w:val="326C6C72"/>
    <w:rsid w:val="32D57EA5"/>
    <w:rsid w:val="341937E8"/>
    <w:rsid w:val="3470426B"/>
    <w:rsid w:val="35AA014D"/>
    <w:rsid w:val="35AB1391"/>
    <w:rsid w:val="39D96CFE"/>
    <w:rsid w:val="3AE237FF"/>
    <w:rsid w:val="3B9B2565"/>
    <w:rsid w:val="3D464014"/>
    <w:rsid w:val="3D850BB2"/>
    <w:rsid w:val="3EB07A18"/>
    <w:rsid w:val="3EF55DAC"/>
    <w:rsid w:val="428B4A24"/>
    <w:rsid w:val="4359067E"/>
    <w:rsid w:val="435D684F"/>
    <w:rsid w:val="43F41351"/>
    <w:rsid w:val="44E93C84"/>
    <w:rsid w:val="45E22164"/>
    <w:rsid w:val="498A06C8"/>
    <w:rsid w:val="499D6183"/>
    <w:rsid w:val="4A7A456D"/>
    <w:rsid w:val="4C001FDF"/>
    <w:rsid w:val="4E017328"/>
    <w:rsid w:val="4E040DF8"/>
    <w:rsid w:val="4EE51018"/>
    <w:rsid w:val="514E3654"/>
    <w:rsid w:val="52F82A01"/>
    <w:rsid w:val="53DD6A6F"/>
    <w:rsid w:val="54A34564"/>
    <w:rsid w:val="562E7748"/>
    <w:rsid w:val="56410D59"/>
    <w:rsid w:val="58EF4F6D"/>
    <w:rsid w:val="59D519A9"/>
    <w:rsid w:val="5A1524A8"/>
    <w:rsid w:val="5AC07179"/>
    <w:rsid w:val="5B381334"/>
    <w:rsid w:val="5B3F213F"/>
    <w:rsid w:val="5B3F27B9"/>
    <w:rsid w:val="5BB93F58"/>
    <w:rsid w:val="5BE75160"/>
    <w:rsid w:val="5DB860B2"/>
    <w:rsid w:val="5EAF3E89"/>
    <w:rsid w:val="5F46256C"/>
    <w:rsid w:val="611759A9"/>
    <w:rsid w:val="61765013"/>
    <w:rsid w:val="61ED04B8"/>
    <w:rsid w:val="62E53885"/>
    <w:rsid w:val="65812DE6"/>
    <w:rsid w:val="668F767B"/>
    <w:rsid w:val="67980683"/>
    <w:rsid w:val="67B044C6"/>
    <w:rsid w:val="69401815"/>
    <w:rsid w:val="694F6FC5"/>
    <w:rsid w:val="6BB529DB"/>
    <w:rsid w:val="6D6C108D"/>
    <w:rsid w:val="6E097858"/>
    <w:rsid w:val="6E2A1EB8"/>
    <w:rsid w:val="6EC627BC"/>
    <w:rsid w:val="6F5222A2"/>
    <w:rsid w:val="6FEA352F"/>
    <w:rsid w:val="70797BC9"/>
    <w:rsid w:val="70876DEE"/>
    <w:rsid w:val="70A51CDF"/>
    <w:rsid w:val="70A969BF"/>
    <w:rsid w:val="717B788E"/>
    <w:rsid w:val="71EC484E"/>
    <w:rsid w:val="721B28F3"/>
    <w:rsid w:val="723143F0"/>
    <w:rsid w:val="72F84C62"/>
    <w:rsid w:val="744A1799"/>
    <w:rsid w:val="75233029"/>
    <w:rsid w:val="765051AE"/>
    <w:rsid w:val="78326E7D"/>
    <w:rsid w:val="78376FA8"/>
    <w:rsid w:val="787B4B15"/>
    <w:rsid w:val="79110AD8"/>
    <w:rsid w:val="795E0D19"/>
    <w:rsid w:val="7AA5772A"/>
    <w:rsid w:val="7BF2699E"/>
    <w:rsid w:val="7C8021FC"/>
    <w:rsid w:val="7C8B6273"/>
    <w:rsid w:val="7CCC2F7E"/>
    <w:rsid w:val="7EEF04BE"/>
    <w:rsid w:val="7F4B0107"/>
    <w:rsid w:val="7F5E3139"/>
    <w:rsid w:val="7FEA7B3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黑体" w:eastAsia="等线 Light" w:cs="等线"/>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rFonts w:cs="Times New Roman"/>
      <w:b/>
      <w:bCs/>
      <w:kern w:val="44"/>
      <w:sz w:val="44"/>
      <w:szCs w:val="44"/>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1260"/>
      <w:jc w:val="left"/>
    </w:pPr>
    <w:rPr>
      <w:rFonts w:ascii="Calibri" w:hAnsi="Calibri" w:cs="Calibri"/>
      <w:sz w:val="18"/>
      <w:szCs w:val="18"/>
    </w:rPr>
  </w:style>
  <w:style w:type="paragraph" w:styleId="4">
    <w:name w:val="caption"/>
    <w:basedOn w:val="1"/>
    <w:next w:val="1"/>
    <w:unhideWhenUsed/>
    <w:qFormat/>
    <w:uiPriority w:val="0"/>
    <w:rPr>
      <w:rFonts w:ascii="Arial" w:hAnsi="Arial" w:eastAsia="黑体"/>
      <w:sz w:val="20"/>
    </w:rPr>
  </w:style>
  <w:style w:type="paragraph" w:styleId="5">
    <w:name w:val="Document Map"/>
    <w:basedOn w:val="1"/>
    <w:link w:val="26"/>
    <w:unhideWhenUsed/>
    <w:qFormat/>
    <w:uiPriority w:val="99"/>
    <w:rPr>
      <w:rFonts w:ascii="等线 Light" w:cs="Times New Roman"/>
      <w:sz w:val="18"/>
      <w:szCs w:val="18"/>
    </w:rPr>
  </w:style>
  <w:style w:type="paragraph" w:styleId="6">
    <w:name w:val="annotation text"/>
    <w:basedOn w:val="1"/>
    <w:semiHidden/>
    <w:unhideWhenUsed/>
    <w:qFormat/>
    <w:uiPriority w:val="99"/>
    <w:pPr>
      <w:jc w:val="left"/>
    </w:pPr>
  </w:style>
  <w:style w:type="paragraph" w:styleId="7">
    <w:name w:val="Body Text Indent"/>
    <w:basedOn w:val="1"/>
    <w:link w:val="27"/>
    <w:semiHidden/>
    <w:qFormat/>
    <w:uiPriority w:val="0"/>
    <w:pPr>
      <w:spacing w:beforeLines="50"/>
      <w:ind w:firstLine="420" w:firstLineChars="200"/>
    </w:pPr>
    <w:rPr>
      <w:rFonts w:ascii="Times New Roman" w:hAnsi="Times New Roman" w:eastAsia="宋体" w:cs="Times New Roman"/>
      <w:szCs w:val="24"/>
    </w:rPr>
  </w:style>
  <w:style w:type="paragraph" w:styleId="8">
    <w:name w:val="toc 5"/>
    <w:basedOn w:val="1"/>
    <w:next w:val="1"/>
    <w:unhideWhenUsed/>
    <w:qFormat/>
    <w:uiPriority w:val="39"/>
    <w:pPr>
      <w:ind w:left="840"/>
      <w:jc w:val="left"/>
    </w:pPr>
    <w:rPr>
      <w:rFonts w:ascii="Calibri" w:hAnsi="Calibri" w:cs="Calibri"/>
      <w:sz w:val="18"/>
      <w:szCs w:val="18"/>
    </w:rPr>
  </w:style>
  <w:style w:type="paragraph" w:styleId="9">
    <w:name w:val="toc 3"/>
    <w:basedOn w:val="1"/>
    <w:next w:val="1"/>
    <w:unhideWhenUsed/>
    <w:qFormat/>
    <w:uiPriority w:val="39"/>
    <w:pPr>
      <w:ind w:left="420"/>
      <w:jc w:val="left"/>
    </w:pPr>
    <w:rPr>
      <w:rFonts w:ascii="Calibri" w:hAnsi="Calibri" w:cs="Calibri"/>
      <w:i/>
      <w:iCs/>
      <w:sz w:val="20"/>
      <w:szCs w:val="20"/>
    </w:rPr>
  </w:style>
  <w:style w:type="paragraph" w:styleId="10">
    <w:name w:val="toc 8"/>
    <w:basedOn w:val="1"/>
    <w:next w:val="1"/>
    <w:unhideWhenUsed/>
    <w:qFormat/>
    <w:uiPriority w:val="39"/>
    <w:pPr>
      <w:ind w:left="1470"/>
      <w:jc w:val="left"/>
    </w:pPr>
    <w:rPr>
      <w:rFonts w:ascii="Calibri" w:hAnsi="Calibri" w:cs="Calibri"/>
      <w:sz w:val="18"/>
      <w:szCs w:val="18"/>
    </w:rPr>
  </w:style>
  <w:style w:type="paragraph" w:styleId="11">
    <w:name w:val="Date"/>
    <w:basedOn w:val="1"/>
    <w:next w:val="1"/>
    <w:link w:val="28"/>
    <w:unhideWhenUsed/>
    <w:qFormat/>
    <w:uiPriority w:val="99"/>
    <w:pPr>
      <w:ind w:left="100" w:leftChars="2500"/>
    </w:pPr>
    <w:rPr>
      <w:rFonts w:cs="Times New Roman"/>
    </w:rPr>
  </w:style>
  <w:style w:type="paragraph" w:styleId="12">
    <w:name w:val="Balloon Text"/>
    <w:basedOn w:val="1"/>
    <w:link w:val="29"/>
    <w:unhideWhenUsed/>
    <w:qFormat/>
    <w:uiPriority w:val="99"/>
    <w:rPr>
      <w:rFonts w:cs="Times New Roman"/>
      <w:kern w:val="0"/>
      <w:sz w:val="18"/>
      <w:szCs w:val="18"/>
    </w:rPr>
  </w:style>
  <w:style w:type="paragraph" w:styleId="13">
    <w:name w:val="footer"/>
    <w:basedOn w:val="1"/>
    <w:link w:val="30"/>
    <w:unhideWhenUsed/>
    <w:qFormat/>
    <w:uiPriority w:val="99"/>
    <w:pPr>
      <w:tabs>
        <w:tab w:val="center" w:pos="4153"/>
        <w:tab w:val="right" w:pos="8306"/>
      </w:tabs>
      <w:snapToGrid w:val="0"/>
      <w:jc w:val="left"/>
    </w:pPr>
    <w:rPr>
      <w:rFonts w:cs="Times New Roman"/>
      <w:kern w:val="0"/>
      <w:sz w:val="18"/>
      <w:szCs w:val="18"/>
    </w:rPr>
  </w:style>
  <w:style w:type="paragraph" w:styleId="14">
    <w:name w:val="header"/>
    <w:basedOn w:val="1"/>
    <w:link w:val="3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5">
    <w:name w:val="toc 1"/>
    <w:basedOn w:val="1"/>
    <w:next w:val="1"/>
    <w:unhideWhenUsed/>
    <w:qFormat/>
    <w:uiPriority w:val="39"/>
    <w:pPr>
      <w:spacing w:before="120" w:after="120"/>
      <w:jc w:val="left"/>
    </w:pPr>
    <w:rPr>
      <w:rFonts w:ascii="Calibri" w:hAnsi="Calibri" w:cs="Calibri"/>
      <w:b/>
      <w:bCs/>
      <w:caps/>
      <w:sz w:val="20"/>
      <w:szCs w:val="20"/>
    </w:rPr>
  </w:style>
  <w:style w:type="paragraph" w:styleId="16">
    <w:name w:val="toc 4"/>
    <w:basedOn w:val="1"/>
    <w:next w:val="1"/>
    <w:unhideWhenUsed/>
    <w:qFormat/>
    <w:uiPriority w:val="39"/>
    <w:pPr>
      <w:ind w:left="630"/>
      <w:jc w:val="left"/>
    </w:pPr>
    <w:rPr>
      <w:rFonts w:ascii="Calibri" w:hAnsi="Calibri" w:cs="Calibri"/>
      <w:sz w:val="18"/>
      <w:szCs w:val="18"/>
    </w:rPr>
  </w:style>
  <w:style w:type="paragraph" w:styleId="17">
    <w:name w:val="toc 6"/>
    <w:basedOn w:val="1"/>
    <w:next w:val="1"/>
    <w:unhideWhenUsed/>
    <w:qFormat/>
    <w:uiPriority w:val="39"/>
    <w:pPr>
      <w:ind w:left="1050"/>
      <w:jc w:val="left"/>
    </w:pPr>
    <w:rPr>
      <w:rFonts w:ascii="Calibri" w:hAnsi="Calibri" w:cs="Calibri"/>
      <w:sz w:val="18"/>
      <w:szCs w:val="18"/>
    </w:rPr>
  </w:style>
  <w:style w:type="paragraph" w:styleId="18">
    <w:name w:val="toc 2"/>
    <w:basedOn w:val="1"/>
    <w:next w:val="1"/>
    <w:unhideWhenUsed/>
    <w:qFormat/>
    <w:uiPriority w:val="39"/>
    <w:pPr>
      <w:ind w:left="210"/>
      <w:jc w:val="left"/>
    </w:pPr>
    <w:rPr>
      <w:rFonts w:ascii="Calibri" w:hAnsi="Calibri" w:cs="Calibri"/>
      <w:smallCaps/>
      <w:sz w:val="20"/>
      <w:szCs w:val="20"/>
    </w:rPr>
  </w:style>
  <w:style w:type="paragraph" w:styleId="19">
    <w:name w:val="toc 9"/>
    <w:basedOn w:val="1"/>
    <w:next w:val="1"/>
    <w:unhideWhenUsed/>
    <w:qFormat/>
    <w:uiPriority w:val="39"/>
    <w:pPr>
      <w:ind w:left="1680"/>
      <w:jc w:val="left"/>
    </w:pPr>
    <w:rPr>
      <w:rFonts w:ascii="Calibri" w:hAnsi="Calibri" w:cs="Calibri"/>
      <w:sz w:val="18"/>
      <w:szCs w:val="18"/>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rPr>
      <w:rFonts w:ascii="Times New Roman" w:hAnsi="Times New Roman" w:eastAsia="宋体"/>
      <w:sz w:val="18"/>
    </w:rPr>
  </w:style>
  <w:style w:type="character" w:styleId="24">
    <w:name w:val="Hyperlink"/>
    <w:unhideWhenUsed/>
    <w:qFormat/>
    <w:uiPriority w:val="99"/>
    <w:rPr>
      <w:color w:val="0563C1"/>
      <w:u w:val="single"/>
    </w:rPr>
  </w:style>
  <w:style w:type="character" w:customStyle="1" w:styleId="25">
    <w:name w:val="标题 1 字符"/>
    <w:link w:val="2"/>
    <w:qFormat/>
    <w:uiPriority w:val="9"/>
    <w:rPr>
      <w:b/>
      <w:bCs/>
      <w:kern w:val="44"/>
      <w:sz w:val="44"/>
      <w:szCs w:val="44"/>
    </w:rPr>
  </w:style>
  <w:style w:type="character" w:customStyle="1" w:styleId="26">
    <w:name w:val="文档结构图 字符"/>
    <w:link w:val="5"/>
    <w:semiHidden/>
    <w:qFormat/>
    <w:uiPriority w:val="99"/>
    <w:rPr>
      <w:rFonts w:ascii="等线 Light"/>
      <w:kern w:val="2"/>
      <w:sz w:val="18"/>
      <w:szCs w:val="18"/>
    </w:rPr>
  </w:style>
  <w:style w:type="character" w:customStyle="1" w:styleId="27">
    <w:name w:val="正文文本缩进 字符"/>
    <w:link w:val="7"/>
    <w:semiHidden/>
    <w:qFormat/>
    <w:uiPriority w:val="0"/>
    <w:rPr>
      <w:rFonts w:ascii="Times New Roman" w:hAnsi="Times New Roman" w:eastAsia="宋体" w:cs="Times New Roman"/>
      <w:kern w:val="2"/>
      <w:sz w:val="21"/>
      <w:szCs w:val="24"/>
    </w:rPr>
  </w:style>
  <w:style w:type="character" w:customStyle="1" w:styleId="28">
    <w:name w:val="日期 字符"/>
    <w:link w:val="11"/>
    <w:semiHidden/>
    <w:qFormat/>
    <w:uiPriority w:val="99"/>
    <w:rPr>
      <w:kern w:val="2"/>
      <w:sz w:val="21"/>
      <w:szCs w:val="22"/>
    </w:rPr>
  </w:style>
  <w:style w:type="character" w:customStyle="1" w:styleId="29">
    <w:name w:val="批注框文本 字符"/>
    <w:link w:val="12"/>
    <w:semiHidden/>
    <w:qFormat/>
    <w:uiPriority w:val="99"/>
    <w:rPr>
      <w:sz w:val="18"/>
      <w:szCs w:val="18"/>
    </w:rPr>
  </w:style>
  <w:style w:type="character" w:customStyle="1" w:styleId="30">
    <w:name w:val="页脚 字符1"/>
    <w:link w:val="13"/>
    <w:qFormat/>
    <w:uiPriority w:val="99"/>
    <w:rPr>
      <w:sz w:val="18"/>
      <w:szCs w:val="18"/>
    </w:rPr>
  </w:style>
  <w:style w:type="character" w:customStyle="1" w:styleId="31">
    <w:name w:val="页眉 字符"/>
    <w:link w:val="14"/>
    <w:qFormat/>
    <w:uiPriority w:val="99"/>
    <w:rPr>
      <w:sz w:val="18"/>
      <w:szCs w:val="18"/>
    </w:rPr>
  </w:style>
  <w:style w:type="character" w:customStyle="1" w:styleId="32">
    <w:name w:val="样式1 Char"/>
    <w:link w:val="33"/>
    <w:qFormat/>
    <w:uiPriority w:val="0"/>
    <w:rPr>
      <w:rFonts w:ascii="Cambria Math" w:hAnsi="Cambria Math" w:eastAsia="Cambria Math"/>
      <w:kern w:val="2"/>
      <w:sz w:val="21"/>
      <w:szCs w:val="21"/>
    </w:rPr>
  </w:style>
  <w:style w:type="paragraph" w:customStyle="1" w:styleId="33">
    <w:name w:val="样式1"/>
    <w:basedOn w:val="1"/>
    <w:link w:val="32"/>
    <w:qFormat/>
    <w:uiPriority w:val="0"/>
    <w:pPr>
      <w:spacing w:before="156" w:beforeLines="50" w:after="156" w:afterLines="50"/>
      <w:jc w:val="left"/>
    </w:pPr>
    <w:rPr>
      <w:rFonts w:ascii="Cambria Math" w:hAnsi="Cambria Math" w:eastAsia="Cambria Math" w:cs="Times New Roman"/>
      <w:szCs w:val="21"/>
    </w:rPr>
  </w:style>
  <w:style w:type="character" w:customStyle="1" w:styleId="34">
    <w:name w:val="页脚 字符"/>
    <w:qFormat/>
    <w:uiPriority w:val="99"/>
  </w:style>
  <w:style w:type="character" w:customStyle="1" w:styleId="35">
    <w:name w:val="_Style 33"/>
    <w:qFormat/>
    <w:uiPriority w:val="32"/>
    <w:rPr>
      <w:b/>
      <w:bCs/>
      <w:smallCaps/>
      <w:color w:val="C0504D"/>
      <w:spacing w:val="5"/>
      <w:u w:val="single"/>
    </w:rPr>
  </w:style>
  <w:style w:type="character" w:customStyle="1" w:styleId="36">
    <w:name w:val="明显引用 字符"/>
    <w:link w:val="37"/>
    <w:qFormat/>
    <w:uiPriority w:val="30"/>
    <w:rPr>
      <w:b/>
      <w:bCs/>
      <w:i/>
      <w:iCs/>
      <w:color w:val="4F81BD"/>
      <w:kern w:val="2"/>
      <w:sz w:val="21"/>
      <w:szCs w:val="22"/>
    </w:rPr>
  </w:style>
  <w:style w:type="paragraph" w:styleId="37">
    <w:name w:val="Intense Quote"/>
    <w:basedOn w:val="1"/>
    <w:next w:val="1"/>
    <w:link w:val="36"/>
    <w:qFormat/>
    <w:uiPriority w:val="30"/>
    <w:pPr>
      <w:pBdr>
        <w:bottom w:val="single" w:color="4F81BD" w:sz="4" w:space="4"/>
      </w:pBdr>
      <w:spacing w:before="200" w:after="280"/>
      <w:ind w:left="936" w:right="936"/>
    </w:pPr>
    <w:rPr>
      <w:rFonts w:cs="Times New Roman"/>
      <w:b/>
      <w:bCs/>
      <w:i/>
      <w:iCs/>
      <w:color w:val="4F81BD"/>
    </w:rPr>
  </w:style>
  <w:style w:type="character" w:customStyle="1" w:styleId="38">
    <w:name w:val="_Style 36"/>
    <w:qFormat/>
    <w:uiPriority w:val="31"/>
    <w:rPr>
      <w:smallCaps/>
      <w:color w:val="C0504D"/>
      <w:u w:val="single"/>
    </w:rPr>
  </w:style>
  <w:style w:type="character" w:customStyle="1" w:styleId="39">
    <w:name w:val="段 Char"/>
    <w:link w:val="40"/>
    <w:qFormat/>
    <w:uiPriority w:val="0"/>
    <w:rPr>
      <w:rFonts w:ascii="宋体" w:hAnsi="Times New Roman" w:eastAsia="宋体" w:cs="Times New Roman"/>
      <w:sz w:val="21"/>
      <w:szCs w:val="24"/>
      <w:lang w:val="en-US" w:eastAsia="zh-CN" w:bidi="ar-SA"/>
    </w:rPr>
  </w:style>
  <w:style w:type="paragraph" w:customStyle="1" w:styleId="40">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4"/>
      <w:lang w:val="en-US" w:eastAsia="zh-CN" w:bidi="ar-SA"/>
    </w:rPr>
  </w:style>
  <w:style w:type="paragraph" w:customStyle="1" w:styleId="41">
    <w:name w:val="其他发布部门"/>
    <w:basedOn w:val="42"/>
    <w:qFormat/>
    <w:uiPriority w:val="0"/>
    <w:pPr>
      <w:framePr w:w="7938" w:h="1134" w:hRule="exact" w:hSpace="125" w:vSpace="181" w:wrap="around" w:vAnchor="page" w:hAnchor="page" w:x="2150" w:y="15310" w:anchorLock="1"/>
      <w:widowControl/>
      <w:spacing w:line="0" w:lineRule="atLeast"/>
      <w:jc w:val="center"/>
    </w:pPr>
    <w:rPr>
      <w:rFonts w:hAnsi="Times New Roman" w:eastAsia="黑体" w:cs="Times New Roman"/>
      <w:spacing w:val="20"/>
      <w:w w:val="135"/>
      <w:kern w:val="0"/>
      <w:sz w:val="28"/>
      <w:szCs w:val="24"/>
    </w:rPr>
  </w:style>
  <w:style w:type="paragraph" w:customStyle="1" w:styleId="42">
    <w:name w:val="发布部门"/>
    <w:next w:val="40"/>
    <w:qFormat/>
    <w:uiPriority w:val="0"/>
    <w:pPr>
      <w:jc w:val="center"/>
    </w:pPr>
    <w:rPr>
      <w:rFonts w:ascii="宋体" w:hAnsi="Times New Roman" w:eastAsia="宋体" w:cs="Times New Roman"/>
      <w:b/>
      <w:spacing w:val="20"/>
      <w:w w:val="135"/>
      <w:sz w:val="36"/>
      <w:lang w:val="en-US" w:eastAsia="zh-CN" w:bidi="ar-SA"/>
    </w:rPr>
  </w:style>
  <w:style w:type="paragraph" w:customStyle="1" w:styleId="43">
    <w:name w:val="封面一致性程度标识"/>
    <w:basedOn w:val="1"/>
    <w:qFormat/>
    <w:uiPriority w:val="0"/>
    <w:pPr>
      <w:framePr w:w="9639" w:h="6917" w:hRule="exact" w:wrap="around" w:vAnchor="page" w:hAnchor="page" w:xAlign="center" w:y="6408" w:anchorLock="1"/>
      <w:spacing w:before="440" w:line="400" w:lineRule="exact"/>
      <w:jc w:val="center"/>
      <w:textAlignment w:val="center"/>
    </w:pPr>
    <w:rPr>
      <w:rFonts w:ascii="宋体" w:hAnsi="Times New Roman" w:eastAsia="宋体" w:cs="Times New Roman"/>
      <w:kern w:val="0"/>
      <w:sz w:val="28"/>
      <w:szCs w:val="28"/>
    </w:rPr>
  </w:style>
  <w:style w:type="paragraph" w:styleId="44">
    <w:name w:val="No Spacing"/>
    <w:qFormat/>
    <w:uiPriority w:val="1"/>
    <w:pPr>
      <w:widowControl w:val="0"/>
      <w:jc w:val="both"/>
    </w:pPr>
    <w:rPr>
      <w:rFonts w:ascii="黑体" w:hAnsi="黑体" w:eastAsia="等线 Light" w:cs="等线"/>
      <w:kern w:val="2"/>
      <w:sz w:val="21"/>
      <w:szCs w:val="22"/>
      <w:lang w:val="en-US" w:eastAsia="zh-CN" w:bidi="ar-SA"/>
    </w:rPr>
  </w:style>
  <w:style w:type="paragraph" w:customStyle="1" w:styleId="45">
    <w:name w:val="_Style 42"/>
    <w:basedOn w:val="2"/>
    <w:next w:val="1"/>
    <w:qFormat/>
    <w:uiPriority w:val="39"/>
    <w:pPr>
      <w:widowControl/>
      <w:spacing w:before="240" w:after="0" w:line="259" w:lineRule="auto"/>
      <w:jc w:val="left"/>
      <w:outlineLvl w:val="9"/>
    </w:pPr>
    <w:rPr>
      <w:rFonts w:ascii="minorBidi" w:hAnsi="minorBidi" w:eastAsia="minorBidi" w:cs="等线"/>
      <w:b w:val="0"/>
      <w:bCs w:val="0"/>
      <w:color w:val="2F5496"/>
      <w:kern w:val="0"/>
      <w:sz w:val="32"/>
      <w:szCs w:val="32"/>
      <w:lang w:val="en-US" w:eastAsia="zh-CN"/>
    </w:rPr>
  </w:style>
  <w:style w:type="paragraph" w:customStyle="1" w:styleId="46">
    <w:name w:val="封面标准号2"/>
    <w:basedOn w:val="47"/>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8">
    <w:name w:val="其他标准称谓"/>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9">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ascii="宋体" w:hAnsi="Times New Roman" w:eastAsia="宋体" w:cs="Times New Roman"/>
      <w:kern w:val="0"/>
      <w:szCs w:val="28"/>
    </w:rPr>
  </w:style>
  <w:style w:type="paragraph" w:customStyle="1" w:styleId="5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51">
    <w:name w:val="其他发布日期"/>
    <w:basedOn w:val="1"/>
    <w:qFormat/>
    <w:uiPriority w:val="0"/>
    <w:pPr>
      <w:framePr w:w="3997" w:h="471" w:hRule="exact" w:vSpace="181" w:wrap="around" w:vAnchor="page" w:hAnchor="text" w:x="1419" w:y="14097" w:anchorLock="1"/>
      <w:widowControl/>
      <w:jc w:val="left"/>
    </w:pPr>
    <w:rPr>
      <w:rFonts w:ascii="Times New Roman" w:hAnsi="Times New Roman" w:eastAsia="黑体" w:cs="Times New Roman"/>
      <w:kern w:val="0"/>
      <w:sz w:val="28"/>
      <w:szCs w:val="24"/>
    </w:rPr>
  </w:style>
  <w:style w:type="paragraph" w:customStyle="1" w:styleId="52">
    <w:name w:val="其他实施日期"/>
    <w:basedOn w:val="1"/>
    <w:qFormat/>
    <w:uiPriority w:val="0"/>
    <w:pPr>
      <w:framePr w:w="3997" w:h="471" w:hRule="exact" w:vSpace="181" w:wrap="around" w:vAnchor="page" w:hAnchor="text" w:x="7089" w:y="14097" w:anchorLock="1"/>
      <w:widowControl/>
      <w:jc w:val="right"/>
    </w:pPr>
    <w:rPr>
      <w:rFonts w:ascii="Times New Roman" w:hAnsi="Times New Roman" w:eastAsia="黑体" w:cs="Times New Roman"/>
      <w:kern w:val="0"/>
      <w:sz w:val="28"/>
      <w:szCs w:val="24"/>
    </w:rPr>
  </w:style>
  <w:style w:type="character" w:customStyle="1" w:styleId="53">
    <w:name w:val="_Style 1"/>
    <w:qFormat/>
    <w:uiPriority w:val="31"/>
    <w:rPr>
      <w:smallCaps/>
      <w:color w:val="C0504D"/>
      <w:u w:val="single"/>
    </w:rPr>
  </w:style>
  <w:style w:type="character" w:customStyle="1" w:styleId="54">
    <w:name w:val="_Style 2"/>
    <w:qFormat/>
    <w:uiPriority w:val="31"/>
    <w:rPr>
      <w:smallCaps/>
      <w:color w:val="C0504D"/>
      <w:u w:val="single"/>
    </w:rPr>
  </w:style>
  <w:style w:type="paragraph" w:customStyle="1" w:styleId="55">
    <w:name w:val="一级条标题"/>
    <w:next w:val="40"/>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56">
    <w:name w:val="章标题"/>
    <w:next w:val="40"/>
    <w:qFormat/>
    <w:uiPriority w:val="0"/>
    <w:pPr>
      <w:numPr>
        <w:ilvl w:val="1"/>
        <w:numId w:val="1"/>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57">
    <w:name w:val="二级条标题"/>
    <w:basedOn w:val="55"/>
    <w:next w:val="40"/>
    <w:qFormat/>
    <w:uiPriority w:val="0"/>
    <w:pPr>
      <w:numPr>
        <w:ilvl w:val="3"/>
      </w:numPr>
      <w:outlineLvl w:val="3"/>
    </w:pPr>
  </w:style>
  <w:style w:type="paragraph" w:customStyle="1" w:styleId="58">
    <w:name w:val="前言、引言标题"/>
    <w:next w:val="4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9">
    <w:name w:val="WPSOffice手动目录 1"/>
    <w:qFormat/>
    <w:uiPriority w:val="0"/>
    <w:pPr>
      <w:ind w:leftChars="0"/>
    </w:pPr>
    <w:rPr>
      <w:rFonts w:ascii="黑体" w:hAnsi="黑体" w:eastAsia="等线 Light" w:cs="等线"/>
      <w:sz w:val="20"/>
      <w:szCs w:val="20"/>
    </w:rPr>
  </w:style>
  <w:style w:type="paragraph" w:customStyle="1" w:styleId="60">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1">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62">
    <w:name w:val="发布日期"/>
    <w:qFormat/>
    <w:uiPriority w:val="0"/>
    <w:rPr>
      <w:rFonts w:ascii="Times New Roman" w:hAnsi="Times New Roman" w:eastAsia="黑体" w:cs="Times New Roman"/>
      <w:sz w:val="28"/>
      <w:lang w:val="en-US" w:eastAsia="zh-CN" w:bidi="ar-SA"/>
    </w:rPr>
  </w:style>
  <w:style w:type="paragraph" w:customStyle="1" w:styleId="63">
    <w:name w:val="实施日期"/>
    <w:basedOn w:val="62"/>
    <w:qFormat/>
    <w:uiPriority w:val="0"/>
    <w:pPr>
      <w:jc w:val="right"/>
    </w:pPr>
  </w:style>
  <w:style w:type="character" w:customStyle="1" w:styleId="64">
    <w:name w:val="发布"/>
    <w:qFormat/>
    <w:uiPriority w:val="0"/>
    <w:rPr>
      <w:rFonts w:ascii="黑体" w:eastAsia="黑体"/>
      <w:spacing w:val="22"/>
      <w:w w:val="100"/>
      <w:position w:val="3"/>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2103</Words>
  <Characters>2553</Characters>
  <Lines>56</Lines>
  <Paragraphs>15</Paragraphs>
  <TotalTime>11</TotalTime>
  <ScaleCrop>false</ScaleCrop>
  <LinksUpToDate>false</LinksUpToDate>
  <CharactersWithSpaces>2691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2024-06-13T08:19:00Z</dcterms:created>
  <dc:creator>wyj</dc:creator>
  <cp:lastModifiedBy>lyt</cp:lastModifiedBy>
  <cp:lastPrinted>2024-06-13T08:19:00Z</cp:lastPrinted>
  <dcterms:modified xsi:type="dcterms:W3CDTF">2026-06-30T09:13:00Z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59D912686164466A9B986681B0FF8AF3_13</vt:lpwstr>
  </property>
  <property fmtid="{D5CDD505-2E9C-101B-9397-08002B2CF9AE}" pid="4" name="KSOTemplateDocerSaveRecord">
    <vt:lpwstr>eyJoZGlkIjoiZDdhOGMyMDQ4OTI2Y2FmMWJlNzViNTg3MDJlMzVjZTMiLCJ1c2VySWQiOiIxNTI2ODUxNDc5In0=</vt:lpwstr>
  </property>
</Properties>
</file>